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703D68" w:rsidRPr="00B1049C" w:rsidTr="00703D68">
        <w:trPr>
          <w:trHeight w:val="13460"/>
        </w:trPr>
        <w:tc>
          <w:tcPr>
            <w:tcW w:w="9322" w:type="dxa"/>
          </w:tcPr>
          <w:p w:rsidR="00703D68" w:rsidRPr="00BF1037" w:rsidRDefault="00703D68" w:rsidP="00E65A1E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703D68" w:rsidRPr="001A09C1" w:rsidRDefault="00703D68" w:rsidP="00E65A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04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>
              <w:rPr>
                <w:rFonts w:cstheme="minorHAnsi"/>
                <w:b/>
                <w:sz w:val="16"/>
                <w:szCs w:val="16"/>
              </w:rPr>
              <w:t>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20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>
              <w:rPr>
                <w:rFonts w:cstheme="minorHAnsi"/>
                <w:b/>
                <w:sz w:val="16"/>
                <w:szCs w:val="16"/>
              </w:rPr>
              <w:t>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703D68" w:rsidRPr="00703D68" w:rsidRDefault="00703D68" w:rsidP="00E65A1E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03EC4">
              <w:rPr>
                <w:rFonts w:ascii="Arial" w:hAnsi="Arial" w:cs="Arial"/>
                <w:sz w:val="15"/>
                <w:szCs w:val="15"/>
              </w:rPr>
              <w:t xml:space="preserve">Extrato de </w:t>
            </w:r>
            <w:r w:rsidRPr="00703D68">
              <w:rPr>
                <w:rFonts w:ascii="Arial" w:hAnsi="Arial" w:cs="Arial"/>
                <w:sz w:val="15"/>
                <w:szCs w:val="15"/>
              </w:rPr>
              <w:t>contrato celebrado entre o Município de Ribeirão do Pinhal, CNPJ n.º 76.968.064/0001-42 e a</w:t>
            </w:r>
            <w:r w:rsidRPr="00703D68">
              <w:rPr>
                <w:rFonts w:ascii="Arial" w:hAnsi="Arial" w:cs="Arial"/>
                <w:sz w:val="15"/>
                <w:szCs w:val="15"/>
              </w:rPr>
              <w:t xml:space="preserve"> empresa</w:t>
            </w:r>
            <w:r w:rsidRPr="00703D68">
              <w:rPr>
                <w:rFonts w:ascii="Arial" w:hAnsi="Arial" w:cs="Arial"/>
                <w:sz w:val="15"/>
                <w:szCs w:val="15"/>
              </w:rPr>
              <w:t xml:space="preserve"> L. AMARO DE OLIVEIRA CNPJ nº. 27.153.491/0001-67. Objeto: </w:t>
            </w:r>
            <w:r w:rsidRPr="00703D68">
              <w:rPr>
                <w:rStyle w:val="SemEspaamentoChar"/>
                <w:rFonts w:ascii="Arial" w:hAnsi="Arial" w:cs="Arial"/>
                <w:sz w:val="15"/>
                <w:szCs w:val="15"/>
              </w:rPr>
              <w:t xml:space="preserve">aquisição </w:t>
            </w:r>
            <w:r w:rsidRPr="00703D68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>de</w:t>
            </w:r>
            <w:r w:rsidRPr="00703D68">
              <w:rPr>
                <w:rStyle w:val="SemEspaamentoChar"/>
                <w:rFonts w:ascii="Arial" w:hAnsi="Arial" w:cs="Arial"/>
                <w:sz w:val="15"/>
                <w:szCs w:val="15"/>
              </w:rPr>
              <w:t xml:space="preserve"> gêneros alimentícios destinados </w:t>
            </w:r>
            <w:proofErr w:type="gramStart"/>
            <w:r w:rsidRPr="00703D68">
              <w:rPr>
                <w:rStyle w:val="SemEspaamentoChar"/>
                <w:rFonts w:ascii="Arial" w:hAnsi="Arial" w:cs="Arial"/>
                <w:sz w:val="15"/>
                <w:szCs w:val="15"/>
              </w:rPr>
              <w:t>a</w:t>
            </w:r>
            <w:proofErr w:type="gramEnd"/>
            <w:r w:rsidRPr="00703D68">
              <w:rPr>
                <w:rStyle w:val="SemEspaamentoChar"/>
                <w:rFonts w:ascii="Arial" w:hAnsi="Arial" w:cs="Arial"/>
                <w:sz w:val="15"/>
                <w:szCs w:val="15"/>
              </w:rPr>
              <w:t xml:space="preserve"> complementação da merenda escolar da</w:t>
            </w:r>
            <w:r w:rsidRPr="00703D68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</w:t>
            </w:r>
            <w:r w:rsidRPr="00703D68">
              <w:rPr>
                <w:rStyle w:val="SemEspaamentoChar"/>
                <w:rFonts w:ascii="Arial" w:hAnsi="Arial" w:cs="Arial"/>
                <w:sz w:val="15"/>
                <w:szCs w:val="15"/>
              </w:rPr>
              <w:t>rede</w:t>
            </w:r>
            <w:r w:rsidRPr="00703D68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</w:t>
            </w:r>
            <w:r w:rsidRPr="00703D68">
              <w:rPr>
                <w:rStyle w:val="SemEspaamentoChar"/>
                <w:rFonts w:ascii="Arial" w:hAnsi="Arial" w:cs="Arial"/>
                <w:sz w:val="15"/>
                <w:szCs w:val="15"/>
              </w:rPr>
              <w:t>pública de ensino, até o termino do ano letivo</w:t>
            </w:r>
            <w:r w:rsidRPr="00703D68">
              <w:rPr>
                <w:rFonts w:ascii="Arial" w:hAnsi="Arial" w:cs="Arial"/>
                <w:sz w:val="15"/>
                <w:szCs w:val="15"/>
              </w:rPr>
              <w:t xml:space="preserve">. Vigência </w:t>
            </w:r>
            <w:r w:rsidRPr="00703D68">
              <w:rPr>
                <w:rFonts w:ascii="Arial" w:hAnsi="Arial" w:cs="Arial"/>
                <w:sz w:val="15"/>
                <w:szCs w:val="15"/>
              </w:rPr>
              <w:t>02/07/2026</w:t>
            </w:r>
            <w:r w:rsidRPr="00703D68">
              <w:rPr>
                <w:rFonts w:ascii="Arial" w:hAnsi="Arial" w:cs="Arial"/>
                <w:sz w:val="15"/>
                <w:szCs w:val="15"/>
              </w:rPr>
              <w:t>. Data de assinatura: 0</w:t>
            </w:r>
            <w:r w:rsidRPr="00703D68">
              <w:rPr>
                <w:rFonts w:ascii="Arial" w:hAnsi="Arial" w:cs="Arial"/>
                <w:sz w:val="15"/>
                <w:szCs w:val="15"/>
              </w:rPr>
              <w:t>3</w:t>
            </w:r>
            <w:r w:rsidRPr="00703D68">
              <w:rPr>
                <w:rFonts w:ascii="Arial" w:hAnsi="Arial" w:cs="Arial"/>
                <w:sz w:val="15"/>
                <w:szCs w:val="15"/>
              </w:rPr>
              <w:t>/07/2025, LUCAS AMARO DE OLIVEIRA CP</w:t>
            </w:r>
            <w:r w:rsidRPr="00703D68">
              <w:rPr>
                <w:rFonts w:ascii="Arial" w:hAnsi="Arial" w:cs="Arial"/>
                <w:sz w:val="15"/>
                <w:szCs w:val="15"/>
              </w:rPr>
              <w:t>F</w:t>
            </w:r>
            <w:r w:rsidRPr="00703D68">
              <w:rPr>
                <w:rFonts w:ascii="Arial" w:hAnsi="Arial" w:cs="Arial"/>
                <w:sz w:val="15"/>
                <w:szCs w:val="15"/>
              </w:rPr>
              <w:t>/MF n.º 083.104.949-98</w:t>
            </w:r>
            <w:r w:rsidRPr="00703D6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703D68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567"/>
              <w:gridCol w:w="709"/>
              <w:gridCol w:w="850"/>
              <w:gridCol w:w="993"/>
            </w:tblGrid>
            <w:tr w:rsidR="00703D68" w:rsidRPr="00EF6151" w:rsidTr="00E65A1E">
              <w:tc>
                <w:tcPr>
                  <w:tcW w:w="568" w:type="dxa"/>
                </w:tcPr>
                <w:p w:rsidR="00703D68" w:rsidRPr="00107C90" w:rsidRDefault="00703D68" w:rsidP="00E65A1E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703D68" w:rsidRPr="00107C90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703D68" w:rsidRPr="00107C90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03D68" w:rsidRPr="00107C90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703D68" w:rsidRPr="00107C90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703D68" w:rsidRPr="00107C90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3" w:type="dxa"/>
                </w:tcPr>
                <w:p w:rsidR="00703D68" w:rsidRPr="00107C90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703D68" w:rsidRPr="007A3553" w:rsidTr="00E65A1E">
              <w:tc>
                <w:tcPr>
                  <w:tcW w:w="568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01.</w:t>
                  </w:r>
                </w:p>
              </w:tc>
              <w:tc>
                <w:tcPr>
                  <w:tcW w:w="845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456469</w:t>
                  </w:r>
                </w:p>
              </w:tc>
              <w:tc>
                <w:tcPr>
                  <w:tcW w:w="4394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4"/>
                      <w:szCs w:val="14"/>
                      <w:u w:val="single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 xml:space="preserve">Biscoito. 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Sabor: Maisena. Características Adicionais: </w:t>
                  </w:r>
                  <w:r w:rsidRPr="00703D68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Sem Lactose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Tipo: Bolacha. Ingredientes: Sem Gordura Trans. </w:t>
                  </w:r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Informações adicionais: O biscoito deverá ser fabricado a partir de matérias primas de 1ª qualidade e limpas, isenta de matérias terrosas, parasitas e em perfeito estado de conservação, serão rejeitados biscoitos mal cozidos, queimados, não podendo apresentar excesso de dureza e nem apresentar quebradiço. Validade mínima de </w:t>
                  </w:r>
                  <w:proofErr w:type="gramStart"/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>6</w:t>
                  </w:r>
                  <w:proofErr w:type="gramEnd"/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 (seis) meses na data da entrega. O produto deverá estar de acordo com as normas técnicas de produção e rotulagem, estabelecidas pela </w:t>
                  </w:r>
                  <w:r w:rsidRPr="00703D68">
                    <w:rPr>
                      <w:rFonts w:ascii="Arial" w:eastAsia="Calibri" w:hAnsi="Arial" w:cs="Arial"/>
                      <w:sz w:val="12"/>
                      <w:szCs w:val="12"/>
                    </w:rPr>
                    <w:t xml:space="preserve">legislação sanitária vigente. Caixa com 20 unidades de 400 gramas. </w:t>
                  </w:r>
                  <w:r w:rsidRPr="00703D68">
                    <w:rPr>
                      <w:rFonts w:ascii="Arial" w:eastAsia="Calibri" w:hAnsi="Arial" w:cs="Arial"/>
                      <w:b/>
                      <w:i/>
                      <w:sz w:val="12"/>
                      <w:szCs w:val="12"/>
                    </w:rPr>
                    <w:t>(RESERVA DE COTA MPE) MARCA LIANE</w:t>
                  </w:r>
                </w:p>
              </w:tc>
              <w:tc>
                <w:tcPr>
                  <w:tcW w:w="567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850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83,00</w:t>
                  </w:r>
                </w:p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1.162,00</w:t>
                  </w:r>
                </w:p>
              </w:tc>
            </w:tr>
            <w:tr w:rsidR="00703D68" w:rsidRPr="007A3553" w:rsidTr="00E65A1E">
              <w:tc>
                <w:tcPr>
                  <w:tcW w:w="568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447594</w:t>
                  </w:r>
                </w:p>
              </w:tc>
              <w:tc>
                <w:tcPr>
                  <w:tcW w:w="4394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 xml:space="preserve">Carne De Ave In Natura 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 Animal: Frango. Tipo Corte: Peito. Apresentação: Inteiro. Estado De Conservação: </w:t>
                  </w:r>
                  <w:proofErr w:type="gramStart"/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Congelado(</w:t>
                  </w:r>
                  <w:proofErr w:type="gramEnd"/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A). Processamento: </w:t>
                  </w:r>
                  <w:r w:rsidRPr="00703D6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Sem Pele, Sem Osso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Informações adicionais: </w:t>
                  </w:r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Carne de frango tipo peito congelado sem tempero, com adição de água de no máximo de 6%. Aspecto próprio, não amolecido e nem pegajosa, cor própria sem manchas esverdeadas com cheiro e sabor característicos, com ausência de sujidades, parasitas e larvas, e deve ser registrado no SIP ou no SIF. (MARINGÁ, PIONIERO E SEARA). </w:t>
                  </w:r>
                  <w:r w:rsidRPr="00703D68">
                    <w:rPr>
                      <w:rFonts w:ascii="Arial" w:eastAsia="Calibri" w:hAnsi="Arial" w:cs="Arial"/>
                      <w:b/>
                      <w:i/>
                      <w:sz w:val="14"/>
                      <w:szCs w:val="14"/>
                    </w:rPr>
                    <w:t>MARCA MARINGÁ</w:t>
                  </w:r>
                </w:p>
              </w:tc>
              <w:tc>
                <w:tcPr>
                  <w:tcW w:w="567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1600</w:t>
                  </w:r>
                </w:p>
              </w:tc>
              <w:tc>
                <w:tcPr>
                  <w:tcW w:w="709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850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16,25</w:t>
                  </w:r>
                </w:p>
              </w:tc>
              <w:tc>
                <w:tcPr>
                  <w:tcW w:w="993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26.000,00</w:t>
                  </w:r>
                </w:p>
              </w:tc>
            </w:tr>
            <w:tr w:rsidR="00703D68" w:rsidRPr="007A3553" w:rsidTr="00E65A1E">
              <w:tc>
                <w:tcPr>
                  <w:tcW w:w="568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451063</w:t>
                  </w:r>
                </w:p>
              </w:tc>
              <w:tc>
                <w:tcPr>
                  <w:tcW w:w="4394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 xml:space="preserve">Carne De Ave In Natura. 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 Animal: Frango. Tipo Corte: Coxa E Sobrecoxa. Apresentação: Inteiro. Estado De Conservação: Congelado (a). Processamento: Informações adicionais: 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Sem tempero, congelado. O produto deve apresentar características sensoriais como: aspecto próprio da carne, firme, não amolecido e nem pegajosa, sem restos de vísceras, sem manchas de sangue, azuis ou esverdeadas, sabor, odor e textura próprio e característico. Deve ser transportada em condições adequadas de higiene e conservação, que preservem tanto as características do alimento, como também, a qualidade. A embalagem deverá conter os dados de identificação e procedência, numero de lote, data da embalagem, data da validade, quantidade do produto e inscrição no SIF ou SIPOA (considerando os parâmetros sanitários vigentes, não serão aceitos produtos com inscrição no SIM/POA, visto que o município não tem categoria deste tipo de estabelecimento – abatedouros/frigoríficos; e consequentemente produtos com o selo SIM/POA não pode ser comercializado entre outros municípios). Deverá ser entregue congelada nos limites de temperatura estabelecidos pelas normas da Vigilância Sanitária. A data de validade do produto deve ser superior a 10 meses contados da data de entrega.</w:t>
                  </w:r>
                  <w:r w:rsidRPr="00703D68">
                    <w:rPr>
                      <w:rFonts w:ascii="Arial" w:eastAsia="Calibri" w:hAnsi="Arial" w:cs="Arial"/>
                      <w:b/>
                      <w:i/>
                      <w:sz w:val="14"/>
                      <w:szCs w:val="14"/>
                    </w:rPr>
                    <w:t xml:space="preserve"> (RESERVA DE COTA MPE)</w:t>
                  </w:r>
                  <w:proofErr w:type="gramStart"/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703D68">
                    <w:rPr>
                      <w:rFonts w:ascii="Arial" w:eastAsia="Calibri" w:hAnsi="Arial" w:cs="Arial"/>
                      <w:b/>
                      <w:i/>
                      <w:sz w:val="14"/>
                      <w:szCs w:val="14"/>
                    </w:rPr>
                    <w:t>MARCA PIONEIRO</w:t>
                  </w:r>
                </w:p>
              </w:tc>
              <w:tc>
                <w:tcPr>
                  <w:tcW w:w="567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1400</w:t>
                  </w:r>
                </w:p>
              </w:tc>
              <w:tc>
                <w:tcPr>
                  <w:tcW w:w="709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850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7,95</w:t>
                  </w:r>
                </w:p>
              </w:tc>
              <w:tc>
                <w:tcPr>
                  <w:tcW w:w="993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11.130,00</w:t>
                  </w:r>
                </w:p>
              </w:tc>
            </w:tr>
            <w:tr w:rsidR="00703D68" w:rsidRPr="007A3553" w:rsidTr="00E65A1E">
              <w:tc>
                <w:tcPr>
                  <w:tcW w:w="568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463754</w:t>
                  </w:r>
                </w:p>
              </w:tc>
              <w:tc>
                <w:tcPr>
                  <w:tcW w:w="4394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 xml:space="preserve">Legume In Natura 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Batata Inglesa. . Características Adicionais: Extra, 1ª qualidade. Tamanho: Grande. </w:t>
                  </w:r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Informações adicionais: Tamanho uniforme. Tubérculo de qualidade e sem defeitos, suficientemente desenvolvidos, com aspecto, aroma e sabor típicos da variedade, beneficiada e classificada com uniformidade no tamanho e cor, ser de colheita recente. </w:t>
                  </w:r>
                  <w:proofErr w:type="gramStart"/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>Isentas</w:t>
                  </w:r>
                  <w:proofErr w:type="gramEnd"/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 de rachaduras, perfurações, cortes ou lesões mecânicas ou provocadas por pragas ou doenças. Deve estar livre de sujidades, terra e resíduos de fertilizantes aderidos à casca, não podendo apresentar odores e sabores estranhos. Sua polpa deverá estar intacta e na cor característica. Quanto às características microbiológicas DEVERÁ OBEDECER A LEGISLAÇÃO CABÍVEL. </w:t>
                  </w:r>
                  <w:r w:rsidRPr="00703D68">
                    <w:rPr>
                      <w:rFonts w:ascii="Arial" w:eastAsia="Calibri" w:hAnsi="Arial" w:cs="Arial"/>
                      <w:b/>
                      <w:i/>
                      <w:sz w:val="14"/>
                      <w:szCs w:val="14"/>
                    </w:rPr>
                    <w:t>(RESERVA DE COTA MPE) MARCA NACIONAL</w:t>
                  </w:r>
                </w:p>
              </w:tc>
              <w:tc>
                <w:tcPr>
                  <w:tcW w:w="567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800</w:t>
                  </w:r>
                </w:p>
              </w:tc>
              <w:tc>
                <w:tcPr>
                  <w:tcW w:w="709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850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4,90</w:t>
                  </w:r>
                </w:p>
              </w:tc>
              <w:tc>
                <w:tcPr>
                  <w:tcW w:w="993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3.920,00</w:t>
                  </w:r>
                </w:p>
              </w:tc>
            </w:tr>
            <w:tr w:rsidR="00703D68" w:rsidRPr="007A3553" w:rsidTr="00E65A1E">
              <w:tc>
                <w:tcPr>
                  <w:tcW w:w="568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845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463781</w:t>
                  </w:r>
                </w:p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4394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Legume In Natura</w:t>
                  </w:r>
                  <w:r w:rsidRPr="00703D6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. 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Cebola Branca. Características Adicionais: Amarela. 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 xml:space="preserve">Informações adicionais: tamanho médio, nova, de 1ª qualidade, com casca, compacta e firme, sã, sem rupturas, sem lesões de origem física ou mecânica, isenta de partes pútridas, livre de enfermidades. Sacos de 20 kg. </w:t>
                  </w:r>
                  <w:r w:rsidRPr="00703D68">
                    <w:rPr>
                      <w:rFonts w:ascii="Arial" w:eastAsia="Calibri" w:hAnsi="Arial" w:cs="Arial"/>
                      <w:b/>
                      <w:i/>
                      <w:sz w:val="14"/>
                      <w:szCs w:val="14"/>
                    </w:rPr>
                    <w:t xml:space="preserve">MARCA </w:t>
                  </w:r>
                  <w:proofErr w:type="gramStart"/>
                  <w:r w:rsidRPr="00703D68">
                    <w:rPr>
                      <w:rFonts w:ascii="Arial" w:eastAsia="Calibri" w:hAnsi="Arial" w:cs="Arial"/>
                      <w:b/>
                      <w:i/>
                      <w:sz w:val="14"/>
                      <w:szCs w:val="14"/>
                    </w:rPr>
                    <w:t>NACIONAL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709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850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2,70</w:t>
                  </w:r>
                </w:p>
              </w:tc>
              <w:tc>
                <w:tcPr>
                  <w:tcW w:w="993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324,00</w:t>
                  </w:r>
                </w:p>
              </w:tc>
            </w:tr>
            <w:tr w:rsidR="00703D68" w:rsidRPr="007A3553" w:rsidTr="00E65A1E">
              <w:tc>
                <w:tcPr>
                  <w:tcW w:w="568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845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460380</w:t>
                  </w:r>
                </w:p>
              </w:tc>
              <w:tc>
                <w:tcPr>
                  <w:tcW w:w="4394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 xml:space="preserve">Pão 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Base: De Farinha De Trigo Refinada. Tipo: </w:t>
                  </w:r>
                  <w:r w:rsidRPr="00703D68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Tipo Francês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/Branco/De Sal. 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 xml:space="preserve">Informações adicionais: boa qualidade com miolo branco e casca de cor dourada brilhante e homogênea. Serão rejeitados pães mal assados, queimados, amassados, achatados e “embatumados aspecto massa pesada” e de características </w:t>
                  </w:r>
                  <w:proofErr w:type="spellStart"/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organolépicas</w:t>
                  </w:r>
                  <w:proofErr w:type="spellEnd"/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 xml:space="preserve"> fresco, macio, sem presença de sujidades, não deve ser embalado quente, embalagem atóxica, com identificação do produto, rótulo com ingredientes, valor nutricional, peso, fabricante, data de fabricação, validade 02 dias.</w:t>
                  </w:r>
                  <w:r w:rsidRPr="00703D68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703D68">
                    <w:rPr>
                      <w:rFonts w:ascii="Arial" w:eastAsia="Calibri" w:hAnsi="Arial" w:cs="Arial"/>
                      <w:b/>
                      <w:i/>
                      <w:sz w:val="14"/>
                      <w:szCs w:val="14"/>
                    </w:rPr>
                    <w:t xml:space="preserve">MARCA </w:t>
                  </w:r>
                  <w:proofErr w:type="gramStart"/>
                  <w:r w:rsidRPr="00703D68">
                    <w:rPr>
                      <w:rFonts w:ascii="Arial" w:eastAsia="Calibri" w:hAnsi="Arial" w:cs="Arial"/>
                      <w:b/>
                      <w:i/>
                      <w:sz w:val="14"/>
                      <w:szCs w:val="14"/>
                    </w:rPr>
                    <w:t>SUPER MASSAS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5000</w:t>
                  </w:r>
                </w:p>
              </w:tc>
              <w:tc>
                <w:tcPr>
                  <w:tcW w:w="709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850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14,22</w:t>
                  </w:r>
                </w:p>
              </w:tc>
              <w:tc>
                <w:tcPr>
                  <w:tcW w:w="993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71.100,00</w:t>
                  </w:r>
                </w:p>
              </w:tc>
            </w:tr>
            <w:tr w:rsidR="00703D68" w:rsidRPr="007A3553" w:rsidTr="00E65A1E">
              <w:tc>
                <w:tcPr>
                  <w:tcW w:w="568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5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113.636,00</w:t>
                  </w:r>
                </w:p>
              </w:tc>
            </w:tr>
          </w:tbl>
          <w:p w:rsidR="00703D68" w:rsidRPr="001A09C1" w:rsidRDefault="00703D68" w:rsidP="00703D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046/2025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20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>
              <w:rPr>
                <w:rFonts w:cstheme="minorHAnsi"/>
                <w:b/>
                <w:sz w:val="16"/>
                <w:szCs w:val="16"/>
              </w:rPr>
              <w:t>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703D68" w:rsidRPr="00703D68" w:rsidRDefault="00703D68" w:rsidP="00703D68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03D68">
              <w:rPr>
                <w:rFonts w:ascii="Arial" w:hAnsi="Arial" w:cs="Arial"/>
                <w:sz w:val="15"/>
                <w:szCs w:val="15"/>
              </w:rPr>
              <w:t xml:space="preserve">Extrato de contrato celebrado entre o Município de Ribeirão do Pinhal, CNPJ n.º 76.968.064/0001-42 e a empresa RPG COMÉRCIO DE MERCADORIAS E SERVIÇOS LTDA CNPJ nº. 54.205.260/0001-22. Objeto: </w:t>
            </w:r>
            <w:r w:rsidRPr="00703D68">
              <w:rPr>
                <w:rStyle w:val="SemEspaamentoChar"/>
                <w:rFonts w:ascii="Arial" w:hAnsi="Arial" w:cs="Arial"/>
                <w:sz w:val="15"/>
                <w:szCs w:val="15"/>
              </w:rPr>
              <w:t xml:space="preserve">aquisição </w:t>
            </w:r>
            <w:r w:rsidRPr="00703D68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>de</w:t>
            </w:r>
            <w:r w:rsidRPr="00703D68">
              <w:rPr>
                <w:rStyle w:val="SemEspaamentoChar"/>
                <w:rFonts w:ascii="Arial" w:hAnsi="Arial" w:cs="Arial"/>
                <w:sz w:val="15"/>
                <w:szCs w:val="15"/>
              </w:rPr>
              <w:t xml:space="preserve"> gêneros alimentícios destinados </w:t>
            </w:r>
            <w:proofErr w:type="gramStart"/>
            <w:r w:rsidRPr="00703D68">
              <w:rPr>
                <w:rStyle w:val="SemEspaamentoChar"/>
                <w:rFonts w:ascii="Arial" w:hAnsi="Arial" w:cs="Arial"/>
                <w:sz w:val="15"/>
                <w:szCs w:val="15"/>
              </w:rPr>
              <w:t>a</w:t>
            </w:r>
            <w:proofErr w:type="gramEnd"/>
            <w:r w:rsidRPr="00703D68">
              <w:rPr>
                <w:rStyle w:val="SemEspaamentoChar"/>
                <w:rFonts w:ascii="Arial" w:hAnsi="Arial" w:cs="Arial"/>
                <w:sz w:val="15"/>
                <w:szCs w:val="15"/>
              </w:rPr>
              <w:t xml:space="preserve"> complementação da merenda escolar da</w:t>
            </w:r>
            <w:r w:rsidRPr="00703D68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</w:t>
            </w:r>
            <w:r w:rsidRPr="00703D68">
              <w:rPr>
                <w:rStyle w:val="SemEspaamentoChar"/>
                <w:rFonts w:ascii="Arial" w:hAnsi="Arial" w:cs="Arial"/>
                <w:sz w:val="15"/>
                <w:szCs w:val="15"/>
              </w:rPr>
              <w:t>rede</w:t>
            </w:r>
            <w:r w:rsidRPr="00703D68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</w:t>
            </w:r>
            <w:r w:rsidRPr="00703D68">
              <w:rPr>
                <w:rStyle w:val="SemEspaamentoChar"/>
                <w:rFonts w:ascii="Arial" w:hAnsi="Arial" w:cs="Arial"/>
                <w:sz w:val="15"/>
                <w:szCs w:val="15"/>
              </w:rPr>
              <w:t>pública de ensino, até o termino do ano letivo</w:t>
            </w:r>
            <w:r w:rsidRPr="00703D68">
              <w:rPr>
                <w:rFonts w:ascii="Arial" w:hAnsi="Arial" w:cs="Arial"/>
                <w:sz w:val="15"/>
                <w:szCs w:val="15"/>
              </w:rPr>
              <w:t>. Vigência 02/07/2026. Data de assinatura: 03/07/2025, RAFAEL PIRES GONÇALVES CP</w:t>
            </w:r>
            <w:r w:rsidRPr="00703D68">
              <w:rPr>
                <w:rFonts w:ascii="Arial" w:hAnsi="Arial" w:cs="Arial"/>
                <w:sz w:val="15"/>
                <w:szCs w:val="15"/>
              </w:rPr>
              <w:t>F</w:t>
            </w:r>
            <w:r w:rsidRPr="00703D68">
              <w:rPr>
                <w:rFonts w:ascii="Arial" w:hAnsi="Arial" w:cs="Arial"/>
                <w:sz w:val="15"/>
                <w:szCs w:val="15"/>
              </w:rPr>
              <w:t>/MF n.º 297.699.628-80</w:t>
            </w:r>
            <w:r w:rsidRPr="00703D6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703D68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567"/>
              <w:gridCol w:w="709"/>
              <w:gridCol w:w="850"/>
              <w:gridCol w:w="993"/>
            </w:tblGrid>
            <w:tr w:rsidR="00703D68" w:rsidRPr="00EF6151" w:rsidTr="00E65A1E">
              <w:tc>
                <w:tcPr>
                  <w:tcW w:w="568" w:type="dxa"/>
                </w:tcPr>
                <w:p w:rsidR="00703D68" w:rsidRPr="00107C90" w:rsidRDefault="00703D68" w:rsidP="00E65A1E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lastRenderedPageBreak/>
                    <w:t>ITEM</w:t>
                  </w:r>
                </w:p>
              </w:tc>
              <w:tc>
                <w:tcPr>
                  <w:tcW w:w="845" w:type="dxa"/>
                </w:tcPr>
                <w:p w:rsidR="00703D68" w:rsidRPr="00107C90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703D68" w:rsidRPr="00107C90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03D68" w:rsidRPr="00107C90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703D68" w:rsidRPr="00107C90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703D68" w:rsidRPr="00107C90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3" w:type="dxa"/>
                </w:tcPr>
                <w:p w:rsidR="00703D68" w:rsidRPr="00107C90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703D68" w:rsidRPr="007A3553" w:rsidTr="00E65A1E">
              <w:tc>
                <w:tcPr>
                  <w:tcW w:w="568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02.</w:t>
                  </w:r>
                </w:p>
              </w:tc>
              <w:tc>
                <w:tcPr>
                  <w:tcW w:w="845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463690</w:t>
                  </w:r>
                </w:p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4394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bCs/>
                      <w:sz w:val="14"/>
                      <w:szCs w:val="14"/>
                    </w:rPr>
                    <w:t>Canjica.</w:t>
                  </w:r>
                  <w:r w:rsidRPr="00703D68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Característica Adicional: Não Transgênico. Classe: Branca. Grupo: Especial, Nº 3. Subgrupo: </w:t>
                  </w:r>
                  <w:proofErr w:type="spellStart"/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Despeliculada</w:t>
                  </w:r>
                  <w:proofErr w:type="spellEnd"/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Qualidade: Tipo </w:t>
                  </w:r>
                  <w:proofErr w:type="gramStart"/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 xml:space="preserve"> Informações adicionais: </w:t>
                  </w:r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Embalagem primária: pacotes de polietileno atóxico, transparentes, resistentes e </w:t>
                  </w:r>
                  <w:proofErr w:type="spellStart"/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>termossoldados</w:t>
                  </w:r>
                  <w:proofErr w:type="spellEnd"/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, Embalagem secundária: fardos plásticos. Validade mínima: 12 (doze) meses após a data de fabricação. Demais parâmetros de produção de acordo com a legislação vigente para alimentos e específica para o produto. </w:t>
                  </w:r>
                  <w:r w:rsidRPr="00703D68">
                    <w:rPr>
                      <w:rFonts w:ascii="Arial" w:eastAsia="Calibri" w:hAnsi="Arial" w:cs="Arial"/>
                      <w:i/>
                      <w:sz w:val="14"/>
                      <w:szCs w:val="14"/>
                    </w:rPr>
                    <w:t>Com 20 pacotes de 500g cada</w:t>
                  </w:r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. </w:t>
                  </w:r>
                  <w:r w:rsidRPr="00703D68">
                    <w:rPr>
                      <w:rFonts w:ascii="Arial" w:eastAsia="Calibri" w:hAnsi="Arial" w:cs="Arial"/>
                      <w:b/>
                      <w:i/>
                      <w:sz w:val="14"/>
                      <w:szCs w:val="14"/>
                    </w:rPr>
                    <w:t>MARCA D’MILLE</w:t>
                  </w:r>
                </w:p>
              </w:tc>
              <w:tc>
                <w:tcPr>
                  <w:tcW w:w="567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Fardo</w:t>
                  </w:r>
                </w:p>
              </w:tc>
              <w:tc>
                <w:tcPr>
                  <w:tcW w:w="850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80,66</w:t>
                  </w:r>
                </w:p>
              </w:tc>
              <w:tc>
                <w:tcPr>
                  <w:tcW w:w="993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483,96</w:t>
                  </w:r>
                </w:p>
              </w:tc>
            </w:tr>
            <w:tr w:rsidR="00703D68" w:rsidRPr="007A3553" w:rsidTr="00E65A1E">
              <w:tc>
                <w:tcPr>
                  <w:tcW w:w="568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463938</w:t>
                  </w:r>
                </w:p>
              </w:tc>
              <w:tc>
                <w:tcPr>
                  <w:tcW w:w="4394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03D68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Condimento 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Alho. Apresentação: Natural. Adicional: Cabeça. </w:t>
                  </w:r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Informações adicionais: Graúdo Nacional ou Importado. Classificação: sem defeito, suficientemente desenvolvidos, com aspecto e sabor característicos, uniformidade no tamanho e na cor. Não serão permitidas rachaduras, perfurações, cortes e dentes chochos ou brotados. Características gerais: deverá estar livre de enfermidades, insetos ou parasitas, umidade, terra e de resíduos de fertilizantes. Quanto às características microbiológicas. DEVERÁ OBEDECER A LEGISLAÇÃO CABÍVEL. </w:t>
                  </w:r>
                  <w:r w:rsidRPr="00703D68">
                    <w:rPr>
                      <w:rFonts w:ascii="Arial" w:eastAsia="Calibri" w:hAnsi="Arial" w:cs="Arial"/>
                      <w:b/>
                      <w:i/>
                      <w:sz w:val="14"/>
                      <w:szCs w:val="14"/>
                    </w:rPr>
                    <w:t>(RESERVA DE COTA MPE) MARCA CEASA</w:t>
                  </w:r>
                </w:p>
              </w:tc>
              <w:tc>
                <w:tcPr>
                  <w:tcW w:w="567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kg.</w:t>
                  </w:r>
                  <w:proofErr w:type="gramEnd"/>
                </w:p>
              </w:tc>
              <w:tc>
                <w:tcPr>
                  <w:tcW w:w="850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24,62</w:t>
                  </w:r>
                </w:p>
              </w:tc>
              <w:tc>
                <w:tcPr>
                  <w:tcW w:w="993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1.969,60</w:t>
                  </w:r>
                </w:p>
              </w:tc>
            </w:tr>
            <w:tr w:rsidR="00703D68" w:rsidRPr="007A3553" w:rsidTr="00E65A1E">
              <w:tc>
                <w:tcPr>
                  <w:tcW w:w="568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326330</w:t>
                  </w:r>
                </w:p>
              </w:tc>
              <w:tc>
                <w:tcPr>
                  <w:tcW w:w="4394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bCs/>
                      <w:sz w:val="14"/>
                      <w:szCs w:val="14"/>
                    </w:rPr>
                    <w:t>Farinha Quibe</w:t>
                  </w:r>
                  <w:r w:rsidRPr="00703D68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Composição: Grãos De Trigo Selecionados E Moídos. Tipo: Cru. Informações adicionais: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 xml:space="preserve"> de ótima qualidade, cor,  sabor e  aroma  característicos  do produto.  Embalagem integra  de </w:t>
                  </w:r>
                  <w:proofErr w:type="gramStart"/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500g ,</w:t>
                  </w:r>
                  <w:proofErr w:type="gramEnd"/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 xml:space="preserve"> na  embalagem deverá  constar data  da  fabricação, data  de  validade  e  número do lote do produto. Validade  mínima  de </w:t>
                  </w:r>
                  <w:proofErr w:type="gramStart"/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proofErr w:type="gramEnd"/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 xml:space="preserve"> meses após a data da entrega.</w:t>
                  </w:r>
                  <w:r w:rsidRPr="00703D68">
                    <w:rPr>
                      <w:rFonts w:ascii="Arial" w:eastAsia="Calibri" w:hAnsi="Arial" w:cs="Arial"/>
                      <w:b/>
                      <w:i/>
                      <w:sz w:val="14"/>
                      <w:szCs w:val="14"/>
                    </w:rPr>
                    <w:t xml:space="preserve"> MARCA D’</w:t>
                  </w:r>
                  <w:proofErr w:type="spellStart"/>
                  <w:r w:rsidRPr="00703D68">
                    <w:rPr>
                      <w:rFonts w:ascii="Arial" w:eastAsia="Calibri" w:hAnsi="Arial" w:cs="Arial"/>
                      <w:b/>
                      <w:i/>
                      <w:sz w:val="14"/>
                      <w:szCs w:val="14"/>
                    </w:rPr>
                    <w:t>mille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709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2,99</w:t>
                  </w:r>
                </w:p>
              </w:tc>
              <w:tc>
                <w:tcPr>
                  <w:tcW w:w="993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448,50</w:t>
                  </w:r>
                </w:p>
              </w:tc>
            </w:tr>
            <w:tr w:rsidR="00703D68" w:rsidRPr="007A3553" w:rsidTr="00E65A1E">
              <w:tc>
                <w:tcPr>
                  <w:tcW w:w="568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845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458963</w:t>
                  </w:r>
                </w:p>
              </w:tc>
              <w:tc>
                <w:tcPr>
                  <w:tcW w:w="4394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 xml:space="preserve">Macarrão. 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Teor De Umidade: Massa Seca. Base Da Massa: De Farinha De Trigo. Ingredientes Adicionais: Com Ovos. Apresentação: </w:t>
                  </w:r>
                  <w:r w:rsidRPr="00703D6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Ave Maria/Pai Nosso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Informações nutricionais: </w:t>
                  </w:r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As massas ao serem postas na água não deverão turvá-las antes da cocção, não podendo estar fermentadas ou rançosas. Na embalagem não poderá haver mistura de outros tipos de macarrão. Com rendimento mínimo após o cozimento de </w:t>
                  </w:r>
                  <w:proofErr w:type="gramStart"/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>2</w:t>
                  </w:r>
                  <w:proofErr w:type="gramEnd"/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 vezes a mais do peso antes da cocção. O produto deverá ter registro no min da agricultura e/ou min da saúde. Marca de referência com qualidade igual ou superior a RENATA, GALO, PARATI. </w:t>
                  </w:r>
                  <w:r w:rsidRPr="00703D68">
                    <w:rPr>
                      <w:rFonts w:ascii="Arial" w:eastAsia="Calibri" w:hAnsi="Arial" w:cs="Arial"/>
                      <w:b/>
                      <w:i/>
                      <w:sz w:val="14"/>
                      <w:szCs w:val="14"/>
                    </w:rPr>
                    <w:t>(RESERVA DE COTA MPE) MARCA FLORIANI</w:t>
                  </w:r>
                </w:p>
              </w:tc>
              <w:tc>
                <w:tcPr>
                  <w:tcW w:w="567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850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5,29</w:t>
                  </w:r>
                </w:p>
              </w:tc>
              <w:tc>
                <w:tcPr>
                  <w:tcW w:w="993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1.058,00</w:t>
                  </w:r>
                </w:p>
              </w:tc>
            </w:tr>
            <w:tr w:rsidR="00703D68" w:rsidRPr="007A3553" w:rsidTr="00E65A1E">
              <w:tc>
                <w:tcPr>
                  <w:tcW w:w="568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845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trike/>
                      <w:sz w:val="14"/>
                      <w:szCs w:val="14"/>
                      <w:shd w:val="clear" w:color="auto" w:fill="FFFFFF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217096</w:t>
                  </w:r>
                </w:p>
              </w:tc>
              <w:tc>
                <w:tcPr>
                  <w:tcW w:w="4394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trike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Vinagre 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Matéria-Prima: Álcool Cana De Açúcar Tipo: </w:t>
                  </w:r>
                  <w:proofErr w:type="gramStart"/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Neutro Acidez</w:t>
                  </w:r>
                  <w:proofErr w:type="gramEnd"/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4,20 PER Aspecto Físico: Líquido Aspecto Visual: Límpido E Sem depósitos Informações adicionais: 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 xml:space="preserve">Acondicionado em frascos  com tampa inviolável, hermeticamente vedado, validade mínima de 2 (dois) anos a contar a partir da data de entrega. Na embalagem deverá constar o nome e marca do produto, data de fabricação, prazo de validade, número do lote e tabela de informação nutricional. </w:t>
                  </w:r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Embalagem de </w:t>
                  </w:r>
                  <w:proofErr w:type="gramStart"/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>750ml</w:t>
                  </w:r>
                  <w:proofErr w:type="gramEnd"/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. </w:t>
                  </w:r>
                  <w:r w:rsidRPr="00703D68">
                    <w:rPr>
                      <w:rFonts w:ascii="Arial" w:eastAsia="Calibri" w:hAnsi="Arial" w:cs="Arial"/>
                      <w:b/>
                      <w:i/>
                      <w:sz w:val="14"/>
                      <w:szCs w:val="14"/>
                    </w:rPr>
                    <w:t>(RESERVA DE COTA MPE) MARCA NEVAL</w:t>
                  </w:r>
                </w:p>
              </w:tc>
              <w:tc>
                <w:tcPr>
                  <w:tcW w:w="567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1,82</w:t>
                  </w:r>
                </w:p>
              </w:tc>
              <w:tc>
                <w:tcPr>
                  <w:tcW w:w="993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109,20</w:t>
                  </w:r>
                </w:p>
              </w:tc>
            </w:tr>
            <w:tr w:rsidR="00703D68" w:rsidRPr="007A3553" w:rsidTr="00E65A1E">
              <w:tc>
                <w:tcPr>
                  <w:tcW w:w="568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45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bCs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4.069,26</w:t>
                  </w:r>
                </w:p>
              </w:tc>
            </w:tr>
          </w:tbl>
          <w:p w:rsidR="00703D68" w:rsidRPr="001A09C1" w:rsidRDefault="00703D68" w:rsidP="00703D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046/2025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20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>
              <w:rPr>
                <w:rFonts w:cstheme="minorHAnsi"/>
                <w:b/>
                <w:sz w:val="16"/>
                <w:szCs w:val="16"/>
              </w:rPr>
              <w:t>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703D68" w:rsidRPr="00703D68" w:rsidRDefault="00703D68" w:rsidP="00703D68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03D68">
              <w:rPr>
                <w:rFonts w:ascii="Arial" w:hAnsi="Arial" w:cs="Arial"/>
                <w:sz w:val="15"/>
                <w:szCs w:val="15"/>
              </w:rPr>
              <w:t xml:space="preserve">Extrato de contrato celebrado entre o Município de Ribeirão do Pinhal, CNPJ n.º 76.968.064/0001-42 e a empresa CRISTIANE NIETO ARANTES LTDA CNPJ nº. 37.974.794/0001-02. Objeto: </w:t>
            </w:r>
            <w:r w:rsidRPr="00703D68">
              <w:rPr>
                <w:rStyle w:val="SemEspaamentoChar"/>
                <w:rFonts w:ascii="Arial" w:hAnsi="Arial" w:cs="Arial"/>
                <w:sz w:val="15"/>
                <w:szCs w:val="15"/>
              </w:rPr>
              <w:t xml:space="preserve">aquisição </w:t>
            </w:r>
            <w:r w:rsidRPr="00703D68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>de</w:t>
            </w:r>
            <w:r w:rsidRPr="00703D68">
              <w:rPr>
                <w:rStyle w:val="SemEspaamentoChar"/>
                <w:rFonts w:ascii="Arial" w:hAnsi="Arial" w:cs="Arial"/>
                <w:sz w:val="15"/>
                <w:szCs w:val="15"/>
              </w:rPr>
              <w:t xml:space="preserve"> gêneros alimentícios destinados </w:t>
            </w:r>
            <w:proofErr w:type="gramStart"/>
            <w:r w:rsidRPr="00703D68">
              <w:rPr>
                <w:rStyle w:val="SemEspaamentoChar"/>
                <w:rFonts w:ascii="Arial" w:hAnsi="Arial" w:cs="Arial"/>
                <w:sz w:val="15"/>
                <w:szCs w:val="15"/>
              </w:rPr>
              <w:t>a</w:t>
            </w:r>
            <w:proofErr w:type="gramEnd"/>
            <w:r w:rsidRPr="00703D68">
              <w:rPr>
                <w:rStyle w:val="SemEspaamentoChar"/>
                <w:rFonts w:ascii="Arial" w:hAnsi="Arial" w:cs="Arial"/>
                <w:sz w:val="15"/>
                <w:szCs w:val="15"/>
              </w:rPr>
              <w:t xml:space="preserve"> complementação da merenda escolar da</w:t>
            </w:r>
            <w:r w:rsidRPr="00703D68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</w:t>
            </w:r>
            <w:r w:rsidRPr="00703D68">
              <w:rPr>
                <w:rStyle w:val="SemEspaamentoChar"/>
                <w:rFonts w:ascii="Arial" w:hAnsi="Arial" w:cs="Arial"/>
                <w:sz w:val="15"/>
                <w:szCs w:val="15"/>
              </w:rPr>
              <w:t>rede</w:t>
            </w:r>
            <w:r w:rsidRPr="00703D68">
              <w:rPr>
                <w:rStyle w:val="SemEspaamentoChar"/>
                <w:rFonts w:ascii="Arial" w:eastAsiaTheme="minorEastAsia" w:hAnsi="Arial" w:cs="Arial"/>
                <w:sz w:val="15"/>
                <w:szCs w:val="15"/>
              </w:rPr>
              <w:t xml:space="preserve"> </w:t>
            </w:r>
            <w:r w:rsidRPr="00703D68">
              <w:rPr>
                <w:rStyle w:val="SemEspaamentoChar"/>
                <w:rFonts w:ascii="Arial" w:hAnsi="Arial" w:cs="Arial"/>
                <w:sz w:val="15"/>
                <w:szCs w:val="15"/>
              </w:rPr>
              <w:t>pública de ensino, até o termino do ano letivo</w:t>
            </w:r>
            <w:r w:rsidRPr="00703D68">
              <w:rPr>
                <w:rFonts w:ascii="Arial" w:hAnsi="Arial" w:cs="Arial"/>
                <w:sz w:val="15"/>
                <w:szCs w:val="15"/>
              </w:rPr>
              <w:t>. Vigência 02/07/2026. Data de assinatura: 03/07/2025, RAFAEL PIRES GONÇALVES CPF/MF n.º 297.699.628-80 e DARTAGNAN CALIXTO FRAIZ, CPF/MF n.º 171.895.279-15.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567"/>
              <w:gridCol w:w="709"/>
              <w:gridCol w:w="850"/>
              <w:gridCol w:w="993"/>
            </w:tblGrid>
            <w:tr w:rsidR="00703D68" w:rsidRPr="00EF6151" w:rsidTr="00E65A1E">
              <w:tc>
                <w:tcPr>
                  <w:tcW w:w="568" w:type="dxa"/>
                </w:tcPr>
                <w:p w:rsidR="00703D68" w:rsidRPr="00107C90" w:rsidRDefault="00703D68" w:rsidP="00E65A1E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703D68" w:rsidRPr="00107C90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703D68" w:rsidRPr="00107C90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03D68" w:rsidRPr="00107C90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703D68" w:rsidRPr="00107C90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703D68" w:rsidRPr="00107C90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3" w:type="dxa"/>
                </w:tcPr>
                <w:p w:rsidR="00703D68" w:rsidRPr="00107C90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703D68" w:rsidRPr="007A3553" w:rsidTr="00E65A1E">
              <w:tc>
                <w:tcPr>
                  <w:tcW w:w="568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458953</w:t>
                  </w:r>
                </w:p>
              </w:tc>
              <w:tc>
                <w:tcPr>
                  <w:tcW w:w="4394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 xml:space="preserve">Macarrão. Teor De Umidade: Massa Seca. Base Da Massa: De Farinha De Trigo. Ingredientes Adicionais: Com Ovos. Apresentação: </w:t>
                  </w:r>
                  <w:r w:rsidRPr="00703D6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Espaguete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Informações adicionais: nº8. Massa alimentícia de sêmola 1ª qualidade. O rendimento mínimo após a cocção deve ser o dobro do peso anterior </w:t>
                  </w:r>
                  <w:proofErr w:type="gramStart"/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>a</w:t>
                  </w:r>
                  <w:proofErr w:type="gramEnd"/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 cocção (alimento seco). Produto deve estar em condições higiênico-sanitárias para uso.  Apresentar validade mínima de 06 (seis) meses a partir da data de entrega.   O produto deverá estar de acordo com as normas técnicas de produção e rotulagem, estabelecidas pela legislação sanitária vigente. Marca de referência com qualidade igual ou superior a RENATA, GALO, PARATI. </w:t>
                  </w:r>
                  <w:r w:rsidRPr="00703D68">
                    <w:rPr>
                      <w:rFonts w:ascii="Arial" w:eastAsia="Calibri" w:hAnsi="Arial" w:cs="Arial"/>
                      <w:b/>
                      <w:i/>
                      <w:sz w:val="14"/>
                      <w:szCs w:val="14"/>
                    </w:rPr>
                    <w:t>MARCA JÓIA</w:t>
                  </w:r>
                </w:p>
              </w:tc>
              <w:tc>
                <w:tcPr>
                  <w:tcW w:w="567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709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850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4,84</w:t>
                  </w:r>
                </w:p>
              </w:tc>
              <w:tc>
                <w:tcPr>
                  <w:tcW w:w="993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1.210,00</w:t>
                  </w:r>
                </w:p>
              </w:tc>
            </w:tr>
            <w:tr w:rsidR="00703D68" w:rsidRPr="007A3553" w:rsidTr="00E65A1E">
              <w:tc>
                <w:tcPr>
                  <w:tcW w:w="568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845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458980</w:t>
                  </w:r>
                </w:p>
              </w:tc>
              <w:tc>
                <w:tcPr>
                  <w:tcW w:w="4394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 xml:space="preserve">Macarrão. 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Teor De Umidade: Massa Seca. Base Da Massa: De Farinha De Trigo. Ingredientes Adicionais: Com Ovos. Apresentação: </w:t>
                  </w:r>
                  <w:r w:rsidRPr="00703D6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Parafuso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Informações adicionais: </w:t>
                  </w:r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Massa alimentícia de sêmola 1ª qualidade. O rendimento mínimo após a cocção deve ser o dobro do peso anterior </w:t>
                  </w:r>
                  <w:proofErr w:type="gramStart"/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>a</w:t>
                  </w:r>
                  <w:proofErr w:type="gramEnd"/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 cocção (alimento seco). Produto deve estar em condições higiênico-sanitárias para uso.  Apresentar validade mínima de 06 (seis) meses a partir da data de entrega.   O produto deverá estar de acordo com as normas técnicas de produção e rotulagem, estabelecidas pela legislação sanitária vigente. Marca de referência com qualidade igual ou superior a RENATA, GALO, PARATI.   </w:t>
                  </w:r>
                  <w:r w:rsidRPr="00703D68">
                    <w:rPr>
                      <w:rFonts w:ascii="Arial" w:eastAsia="Calibri" w:hAnsi="Arial" w:cs="Arial"/>
                      <w:b/>
                      <w:i/>
                      <w:sz w:val="14"/>
                      <w:szCs w:val="14"/>
                    </w:rPr>
                    <w:t>MARCA JÓIA</w:t>
                  </w:r>
                </w:p>
              </w:tc>
              <w:tc>
                <w:tcPr>
                  <w:tcW w:w="567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180</w:t>
                  </w:r>
                </w:p>
              </w:tc>
              <w:tc>
                <w:tcPr>
                  <w:tcW w:w="709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850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4,93</w:t>
                  </w:r>
                </w:p>
              </w:tc>
              <w:tc>
                <w:tcPr>
                  <w:tcW w:w="993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887,40</w:t>
                  </w:r>
                </w:p>
              </w:tc>
            </w:tr>
            <w:tr w:rsidR="00703D68" w:rsidRPr="007A3553" w:rsidTr="00E65A1E">
              <w:tc>
                <w:tcPr>
                  <w:tcW w:w="568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845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458981</w:t>
                  </w:r>
                </w:p>
              </w:tc>
              <w:tc>
                <w:tcPr>
                  <w:tcW w:w="4394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 xml:space="preserve">Macarrão. 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Teor De Umidade: Massa Seca. Base Da Massa: De Farinha De Trigo. Ingredientes Adicionais: Com Ovos. Apresentação: </w:t>
                  </w:r>
                  <w:proofErr w:type="spellStart"/>
                  <w:r w:rsidRPr="00703D68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Penne</w:t>
                  </w:r>
                  <w:proofErr w:type="spellEnd"/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Informações adicionais: </w:t>
                  </w:r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Massa alimentícia de sêmola 1ª qualidade. O rendimento mínimo após a cocção deve ser o dobro do peso anterior à cocção (alimento seco). Produto deve estar em condições higiênico-sanitárias para uso.  Apresentar validade mínima de 06 (seis) meses a partir da data de entrega.   O produto deverá estar de acordo com as normas </w:t>
                  </w:r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lastRenderedPageBreak/>
                    <w:t>técnicas de produção e rotulagem, estabelecidas pela legislação sanitária vigente. Marca de referência com qualidade igual ou superior a RENATA, GALO, PARATI.</w:t>
                  </w:r>
                  <w:r w:rsidRPr="00703D68">
                    <w:rPr>
                      <w:rFonts w:ascii="Arial" w:eastAsia="Calibri" w:hAnsi="Arial" w:cs="Arial"/>
                      <w:b/>
                      <w:i/>
                      <w:sz w:val="14"/>
                      <w:szCs w:val="14"/>
                    </w:rPr>
                    <w:t xml:space="preserve"> (RESERVA DE COTA MPE) MARCA JÓIA</w:t>
                  </w:r>
                </w:p>
              </w:tc>
              <w:tc>
                <w:tcPr>
                  <w:tcW w:w="567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340</w:t>
                  </w:r>
                </w:p>
              </w:tc>
              <w:tc>
                <w:tcPr>
                  <w:tcW w:w="709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</w:p>
              </w:tc>
              <w:tc>
                <w:tcPr>
                  <w:tcW w:w="850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4,73</w:t>
                  </w:r>
                </w:p>
              </w:tc>
              <w:tc>
                <w:tcPr>
                  <w:tcW w:w="993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1.608,20</w:t>
                  </w:r>
                </w:p>
              </w:tc>
            </w:tr>
            <w:tr w:rsidR="00703D68" w:rsidRPr="007A3553" w:rsidTr="00E65A1E">
              <w:tc>
                <w:tcPr>
                  <w:tcW w:w="568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13</w:t>
                  </w:r>
                </w:p>
              </w:tc>
              <w:tc>
                <w:tcPr>
                  <w:tcW w:w="845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467577</w:t>
                  </w:r>
                </w:p>
              </w:tc>
              <w:tc>
                <w:tcPr>
                  <w:tcW w:w="4394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 xml:space="preserve">Ovo. 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Origem: Galinha. Grupo: Branco. Classe: A. Tipo: Jumbo. </w:t>
                  </w: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Informações adicionais: Características gerais: ser limpo, com casca lisa, integra pouco porosa, resistente com calcificação uniforme e formato característico. Apresentar claras transparentes, densas, firmes, espessas, límpidas, sem manchas ou trovão com claras intactas; apresentar classificação segundo a coloração de casca, peso e classe da qualidade. Serão considerados impróprios para consumo os ovos que apresentem: alteração da gema e da clara (gema aderente casca, gema arrebentada, com manchas securas, presença de embrião com manchas orbitarias ou em adiantado estado de desenvolvimento). Mumificação (ovo seco); podridão (</w:t>
                  </w:r>
                  <w:proofErr w:type="gramStart"/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vermelho, negra</w:t>
                  </w:r>
                  <w:proofErr w:type="gramEnd"/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 xml:space="preserve"> ou branca). </w:t>
                  </w:r>
                  <w:r w:rsidRPr="00703D68">
                    <w:rPr>
                      <w:rFonts w:ascii="Arial" w:eastAsia="Calibri" w:hAnsi="Arial" w:cs="Arial"/>
                      <w:b/>
                      <w:i/>
                      <w:sz w:val="14"/>
                      <w:szCs w:val="14"/>
                    </w:rPr>
                    <w:t>Caixa com 12 bandejas de 30 ovos</w:t>
                  </w:r>
                  <w:r w:rsidRPr="00703D68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. </w:t>
                  </w:r>
                  <w:r w:rsidRPr="00703D68">
                    <w:rPr>
                      <w:rFonts w:ascii="Arial" w:eastAsia="Calibri" w:hAnsi="Arial" w:cs="Arial"/>
                      <w:b/>
                      <w:i/>
                      <w:sz w:val="14"/>
                      <w:szCs w:val="14"/>
                    </w:rPr>
                    <w:t>(RESERVA DE COTA MPE) MARCA GRANJA ONO</w:t>
                  </w:r>
                </w:p>
              </w:tc>
              <w:tc>
                <w:tcPr>
                  <w:tcW w:w="567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709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850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sz w:val="14"/>
                      <w:szCs w:val="14"/>
                    </w:rPr>
                    <w:t>192,51</w:t>
                  </w:r>
                </w:p>
              </w:tc>
              <w:tc>
                <w:tcPr>
                  <w:tcW w:w="993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8.662,95</w:t>
                  </w:r>
                </w:p>
              </w:tc>
            </w:tr>
            <w:tr w:rsidR="00703D68" w:rsidRPr="007A3553" w:rsidTr="00E65A1E">
              <w:tc>
                <w:tcPr>
                  <w:tcW w:w="568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45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703D68" w:rsidRPr="00703D68" w:rsidRDefault="00703D68" w:rsidP="00E65A1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bCs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703D68" w:rsidRPr="00703D68" w:rsidRDefault="00703D68" w:rsidP="00E65A1E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:rsidR="00703D68" w:rsidRPr="00703D68" w:rsidRDefault="00703D68" w:rsidP="00E65A1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03D6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12.368,55</w:t>
                  </w:r>
                </w:p>
              </w:tc>
            </w:tr>
          </w:tbl>
          <w:p w:rsidR="00703D68" w:rsidRPr="002B55E6" w:rsidRDefault="00703D68" w:rsidP="00E65A1E">
            <w:pPr>
              <w:jc w:val="center"/>
            </w:pPr>
          </w:p>
        </w:tc>
      </w:tr>
    </w:tbl>
    <w:p w:rsidR="00703D68" w:rsidRDefault="00703D68" w:rsidP="00703D68"/>
    <w:p w:rsidR="00703D68" w:rsidRDefault="00703D68" w:rsidP="00703D68"/>
    <w:p w:rsidR="00703D68" w:rsidRPr="007A7EC6" w:rsidRDefault="00703D68" w:rsidP="00703D68"/>
    <w:p w:rsidR="00703D68" w:rsidRDefault="00703D68" w:rsidP="00703D68"/>
    <w:p w:rsidR="00703D68" w:rsidRDefault="00703D68" w:rsidP="00703D68"/>
    <w:p w:rsidR="008F2158" w:rsidRDefault="008F2158"/>
    <w:sectPr w:rsidR="008F2158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703D68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703D6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1E5387" w:rsidRPr="00A7116E" w:rsidRDefault="00703D6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703D6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1F7772C" wp14:editId="1DA3BEF5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703D6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703D6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EB"/>
    <w:rsid w:val="00703D68"/>
    <w:rsid w:val="008F2158"/>
    <w:rsid w:val="00E1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6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3D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03D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03D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03D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03D6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03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03D6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3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extra-large">
    <w:name w:val="a-size-extra-large"/>
    <w:basedOn w:val="Fontepargpadro"/>
    <w:rsid w:val="00703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6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3D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03D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03D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03D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03D6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03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03D6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3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extra-large">
    <w:name w:val="a-size-extra-large"/>
    <w:basedOn w:val="Fontepargpadro"/>
    <w:rsid w:val="00703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1859</Words>
  <Characters>10043</Characters>
  <Application>Microsoft Office Word</Application>
  <DocSecurity>0</DocSecurity>
  <Lines>83</Lines>
  <Paragraphs>23</Paragraphs>
  <ScaleCrop>false</ScaleCrop>
  <Company/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2025-07-03T13:34:00Z</dcterms:created>
  <dcterms:modified xsi:type="dcterms:W3CDTF">2025-07-03T13:42:00Z</dcterms:modified>
</cp:coreProperties>
</file>