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0" w:rsidRPr="002360B0" w:rsidRDefault="002360B0" w:rsidP="002360B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058/2018 - ATA REGISTRO DE PREÇOS N.º 120/2018.</w:t>
      </w:r>
    </w:p>
    <w:p w:rsidR="002360B0" w:rsidRPr="002360B0" w:rsidRDefault="002360B0" w:rsidP="002360B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2360B0" w:rsidRPr="002360B0" w:rsidRDefault="002360B0" w:rsidP="002360B0">
      <w:pPr>
        <w:jc w:val="both"/>
        <w:rPr>
          <w:rFonts w:cs="Tahoma"/>
        </w:rPr>
      </w:pPr>
      <w:r w:rsidRPr="002360B0">
        <w:rPr>
          <w:rFonts w:cstheme="minorHAnsi"/>
        </w:rPr>
        <w:t> </w:t>
      </w:r>
      <w:r w:rsidR="00BE2524">
        <w:rPr>
          <w:rFonts w:cs="Tahoma"/>
        </w:rPr>
        <w:t> </w:t>
      </w:r>
      <w:r w:rsidRPr="002360B0">
        <w:rPr>
          <w:rFonts w:cs="Tahoma"/>
        </w:rPr>
        <w:t xml:space="preserve">O Fundo Municipal de Saúde de Ribeirão do Pinhal inscrito no CNPJ sob n.º 09.654.201/0001-87 com sede a Rua Paraná 940 – Centro, neste ato representado pelo Prefeito Municipal, o Senhor </w:t>
      </w:r>
      <w:r w:rsidRPr="002360B0">
        <w:rPr>
          <w:rFonts w:cs="Tahoma"/>
          <w:b/>
          <w:u w:val="single"/>
        </w:rPr>
        <w:t>WAGNER LUIZ DE OLIVEIRA MARTINS</w:t>
      </w:r>
      <w:r w:rsidRPr="002360B0">
        <w:rPr>
          <w:rFonts w:cs="Tahoma"/>
        </w:rPr>
        <w:t xml:space="preserve">, </w:t>
      </w:r>
      <w:r w:rsidRPr="002360B0">
        <w:rPr>
          <w:rFonts w:cstheme="minorHAnsi"/>
        </w:rPr>
        <w:t>portador do RG 10733456-2 SSP/PR., e inscrito sob CPF/MF n.º 052.206.749-27,brasileiro</w:t>
      </w:r>
      <w:r w:rsidRPr="002360B0">
        <w:rPr>
          <w:rFonts w:cstheme="minorHAnsi"/>
          <w:b/>
        </w:rPr>
        <w:t xml:space="preserve">, </w:t>
      </w:r>
      <w:r w:rsidRPr="002360B0">
        <w:rPr>
          <w:rFonts w:cstheme="minorHAnsi"/>
        </w:rPr>
        <w:t>casado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e a Empresa </w:t>
      </w:r>
      <w:r w:rsidRPr="002360B0">
        <w:rPr>
          <w:rFonts w:cstheme="minorHAnsi"/>
          <w:b/>
        </w:rPr>
        <w:t>KLEBER ARRABAÇA BARBOSA</w:t>
      </w:r>
      <w:r w:rsidRPr="002360B0">
        <w:rPr>
          <w:rFonts w:cstheme="minorHAnsi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2360B0">
        <w:rPr>
          <w:rFonts w:cstheme="minorHAnsi"/>
          <w:b/>
        </w:rPr>
        <w:t>KLEBER ARRABAÇA BARBOSA</w:t>
      </w:r>
      <w:r w:rsidRPr="002360B0">
        <w:rPr>
          <w:rFonts w:cstheme="minorHAnsi"/>
        </w:rPr>
        <w:t xml:space="preserve">, brasileiro, empresário, residente e domiciliado na Rua Arthur Franco, n.º 690 - Vila </w:t>
      </w:r>
      <w:proofErr w:type="spellStart"/>
      <w:r w:rsidRPr="002360B0">
        <w:rPr>
          <w:rFonts w:cstheme="minorHAnsi"/>
        </w:rPr>
        <w:t>Hermantina</w:t>
      </w:r>
      <w:proofErr w:type="spellEnd"/>
      <w:r w:rsidRPr="002360B0">
        <w:rPr>
          <w:rFonts w:cstheme="minorHAnsi"/>
        </w:rPr>
        <w:t>, CEP.:86.430-000, na cidade de Santo Antônio da Platina Paraná, portador do RG n.º 6.044.214-2 SSP/PR e inscrito no CFP/MF sob n.º 037.529.019-26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u w:val="single"/>
        </w:rPr>
        <w:t>CONTRATADO,</w:t>
      </w:r>
      <w:r w:rsidRPr="002360B0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2360B0" w:rsidRPr="002360B0" w:rsidRDefault="002360B0" w:rsidP="002360B0">
      <w:pPr>
        <w:jc w:val="both"/>
        <w:rPr>
          <w:rFonts w:cs="Tahoma"/>
        </w:rPr>
      </w:pPr>
      <w:r w:rsidRPr="002360B0">
        <w:rPr>
          <w:rFonts w:cs="Tahoma"/>
        </w:rPr>
        <w:t xml:space="preserve">A presente Ata tem por objeto o registro de preços para possível  aquisição de equipamentos de informática, móveis, utensílios, eletrodomésticos e aparelhos de ar condicionado com recursos SESA 604/2015, VIGIASUS, VIGILANCIA EM SAÚDE E APSUS, conforme solicitação da Secretaria de Saúde, obrigando-se a </w:t>
      </w:r>
      <w:r w:rsidRPr="002360B0">
        <w:rPr>
          <w:rFonts w:cs="Tahoma"/>
          <w:b/>
          <w:u w:val="single"/>
        </w:rPr>
        <w:t xml:space="preserve">CONTRATADA </w:t>
      </w:r>
      <w:r w:rsidRPr="002360B0">
        <w:rPr>
          <w:rFonts w:cs="Tahoma"/>
        </w:rPr>
        <w:t xml:space="preserve">a executar em favor da </w:t>
      </w:r>
      <w:r w:rsidRPr="002360B0">
        <w:rPr>
          <w:rFonts w:cs="Tahoma"/>
          <w:b/>
          <w:u w:val="single"/>
        </w:rPr>
        <w:t xml:space="preserve">CONTRATANTE </w:t>
      </w:r>
      <w:r w:rsidRPr="002360B0">
        <w:rPr>
          <w:rFonts w:cs="Tahoma"/>
        </w:rPr>
        <w:t xml:space="preserve">o fornecimento dos itens constantes nesse instrumento, conforme consta na proposta anexada ao Processo Licitatório Modalidade Pregão Presencial, registrado sob n.º 058/2018 lotes 01 e 05, a qual fará parte integrante deste instrumento. </w:t>
      </w:r>
    </w:p>
    <w:p w:rsidR="002360B0" w:rsidRPr="002360B0" w:rsidRDefault="002360B0" w:rsidP="002360B0">
      <w:pPr>
        <w:rPr>
          <w:rFonts w:cs="Tahoma"/>
          <w:b/>
        </w:rPr>
      </w:pPr>
      <w:r w:rsidRPr="002360B0">
        <w:rPr>
          <w:rFonts w:cs="Tahoma"/>
          <w:b/>
          <w:u w:val="single"/>
        </w:rPr>
        <w:t>CLÁUSULA SEGUNDA</w:t>
      </w:r>
      <w:r w:rsidRPr="002360B0">
        <w:rPr>
          <w:rFonts w:cs="Tahoma"/>
          <w:b/>
        </w:rPr>
        <w:t xml:space="preserve"> – DA VIGÊNCIA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terá início na data de sua assinatura e vigorará até </w:t>
      </w:r>
      <w:r w:rsidRPr="002360B0">
        <w:rPr>
          <w:rFonts w:asciiTheme="minorHAnsi" w:hAnsiTheme="minorHAnsi" w:cs="Tahoma"/>
          <w:b/>
          <w:sz w:val="22"/>
          <w:szCs w:val="22"/>
        </w:rPr>
        <w:t>16/10/2019</w:t>
      </w:r>
      <w:r w:rsidRPr="002360B0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, os quais seguem transcritos abaixo:</w:t>
      </w:r>
      <w:r w:rsidR="00BE2524">
        <w:rPr>
          <w:rFonts w:asciiTheme="minorHAnsi" w:hAnsiTheme="minorHAnsi" w:cs="Tahoma"/>
          <w:sz w:val="22"/>
          <w:szCs w:val="22"/>
        </w:rPr>
        <w:t xml:space="preserve"> </w:t>
      </w:r>
    </w:p>
    <w:p w:rsidR="002360B0" w:rsidRPr="002360B0" w:rsidRDefault="002360B0" w:rsidP="002360B0">
      <w:pPr>
        <w:pStyle w:val="Ttulo"/>
        <w:spacing w:line="360" w:lineRule="auto"/>
        <w:jc w:val="left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LOTE 01 - EQUIPAMENTOS DE INFORMÁTICA (RES. SESA 604/15 - APSUS) -  VALOR: R$ 32.856,00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812"/>
        <w:gridCol w:w="850"/>
        <w:gridCol w:w="851"/>
        <w:gridCol w:w="992"/>
      </w:tblGrid>
      <w:tr w:rsidR="002360B0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360B0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360B0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2360B0" w:rsidRPr="002360B0" w:rsidTr="002360B0">
        <w:trPr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b/>
                <w:sz w:val="22"/>
                <w:szCs w:val="22"/>
              </w:rPr>
              <w:t>UNID. ATENÇÃO PRIMÁRIA RES. SESA 604/15 - APSUS.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P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Pr="002360B0" w:rsidRDefault="002360B0" w:rsidP="00533602">
            <w:pPr>
              <w:jc w:val="right"/>
              <w:rPr>
                <w:rFonts w:cs="Tahoma"/>
                <w:color w:val="000000"/>
              </w:rPr>
            </w:pPr>
          </w:p>
        </w:tc>
      </w:tr>
      <w:tr w:rsidR="002360B0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 xml:space="preserve">Computador com processador mínimo 3.0GHz 4 núcleos físicos e 4 threads - 6MB </w:t>
            </w:r>
            <w:proofErr w:type="spellStart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>Cache</w:t>
            </w:r>
            <w:proofErr w:type="spellEnd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 xml:space="preserve">, Placa mãe do mesmo fabricante do equipamento ou em regime </w:t>
            </w:r>
            <w:proofErr w:type="spellStart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>oem</w:t>
            </w:r>
            <w:proofErr w:type="spellEnd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 xml:space="preserve"> com comprovação por meio de carta do fabricante da mesma, Memória DDR4 8GB 2400 MHZ, HD 1TB 7200RPM </w:t>
            </w:r>
            <w:proofErr w:type="spellStart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>sata</w:t>
            </w:r>
            <w:proofErr w:type="spellEnd"/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 xml:space="preserve"> 3, Gabinete do mesmo fabricante </w:t>
            </w:r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lastRenderedPageBreak/>
              <w:t>do equipamento possuir sistema de detecção de intrusão de chassis, com acionador instalado no gabinete, fonte compatível e que suporte toda a configuração exigida no item, Monitor 21,5 com suporte ajustável de altura, Microsoft Windows 10 Pro acompanhado de mídia, Teclado e Mouse USB do mesmo fabricante do equipamento.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lastRenderedPageBreak/>
              <w:t>Lettech</w:t>
            </w:r>
            <w:proofErr w:type="spellEnd"/>
            <w:r w:rsidRPr="002360B0">
              <w:rPr>
                <w:rFonts w:asciiTheme="minorHAnsi" w:hAnsiTheme="minorHAnsi" w:cs="Tahoma"/>
                <w:sz w:val="22"/>
                <w:szCs w:val="22"/>
              </w:rPr>
              <w:t>+AOC+</w:t>
            </w: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Vinik</w:t>
            </w:r>
            <w:proofErr w:type="spellEnd"/>
            <w:r w:rsidRPr="002360B0">
              <w:rPr>
                <w:rFonts w:asciiTheme="minorHAnsi" w:hAnsiTheme="minorHAnsi" w:cs="Tahoma"/>
                <w:sz w:val="22"/>
                <w:szCs w:val="22"/>
              </w:rPr>
              <w:t>+Microsoft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2360B0">
              <w:rPr>
                <w:rFonts w:asciiTheme="minorHAnsi" w:hAnsiTheme="minorHAnsi" w:cs="Tahoma"/>
                <w:color w:val="000000"/>
                <w:sz w:val="20"/>
                <w:szCs w:val="20"/>
              </w:rPr>
              <w:t>3.435,43</w:t>
            </w:r>
          </w:p>
          <w:p w:rsid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2360B0" w:rsidRP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Default="002360B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2360B0">
              <w:rPr>
                <w:rFonts w:cs="Tahoma"/>
                <w:color w:val="000000"/>
                <w:sz w:val="20"/>
                <w:szCs w:val="20"/>
              </w:rPr>
              <w:lastRenderedPageBreak/>
              <w:t>24.048,01</w:t>
            </w:r>
          </w:p>
          <w:p w:rsidR="002360B0" w:rsidRDefault="002360B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2360B0" w:rsidRDefault="002360B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2360B0" w:rsidRPr="002360B0" w:rsidRDefault="002360B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2360B0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un</w:t>
            </w:r>
            <w:r>
              <w:rPr>
                <w:rFonts w:asciiTheme="minorHAnsi" w:hAnsiTheme="minorHAnsi" w:cs="Tahoma"/>
                <w:sz w:val="22"/>
                <w:szCs w:val="22"/>
              </w:rPr>
              <w:t>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color w:val="212121"/>
                <w:sz w:val="22"/>
                <w:szCs w:val="22"/>
                <w:shd w:val="clear" w:color="auto" w:fill="FFFFFF"/>
              </w:rPr>
              <w:t>Impressora        Laser especificação mínima: que esteja em linha de produção pelo fabricante; impressora laser com padrão de cor monocromático; resolução mínima de 1200 x 1200 DPI; velocidade de 35 páginas por minuto PPM; suportar tamanho de papel a5, a4 carta e ofício; capacidade de entrada de 200 páginas; ciclo mensal  de 50.000 páginas; interface USB; permitir compartilhamento por meio e rede 10/100/100 ethernet e WIFI 802.11 b/g/n; suportar frente e verso automático; o produto deverá ser novo, sem uso, reforma ou recondicionamento garantia de 12 meses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Xerox</w:t>
            </w:r>
          </w:p>
          <w:p w:rsid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360B0" w:rsidRPr="002360B0" w:rsidRDefault="002360B0" w:rsidP="002360B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2360B0">
              <w:rPr>
                <w:rFonts w:asciiTheme="minorHAnsi" w:hAnsiTheme="minorHAnsi" w:cs="Tahoma"/>
                <w:color w:val="000000"/>
                <w:sz w:val="16"/>
                <w:szCs w:val="16"/>
              </w:rPr>
              <w:t>1.761,598</w:t>
            </w: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2360B0" w:rsidRPr="002360B0" w:rsidRDefault="002360B0" w:rsidP="002360B0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Default="002360B0" w:rsidP="002360B0">
            <w:pPr>
              <w:jc w:val="right"/>
              <w:rPr>
                <w:rFonts w:cs="Tahoma"/>
                <w:color w:val="000000"/>
              </w:rPr>
            </w:pPr>
            <w:r w:rsidRPr="002360B0">
              <w:rPr>
                <w:rFonts w:cs="Tahoma"/>
                <w:color w:val="000000"/>
              </w:rPr>
              <w:t>8.807,99</w:t>
            </w:r>
          </w:p>
          <w:p w:rsidR="002360B0" w:rsidRDefault="002360B0" w:rsidP="002360B0">
            <w:pPr>
              <w:jc w:val="right"/>
              <w:rPr>
                <w:rFonts w:cs="Tahoma"/>
                <w:color w:val="000000"/>
              </w:rPr>
            </w:pPr>
          </w:p>
          <w:p w:rsidR="002360B0" w:rsidRDefault="002360B0" w:rsidP="002360B0">
            <w:pPr>
              <w:jc w:val="right"/>
              <w:rPr>
                <w:rFonts w:cs="Tahoma"/>
                <w:color w:val="000000"/>
              </w:rPr>
            </w:pPr>
          </w:p>
          <w:p w:rsidR="002360B0" w:rsidRDefault="002360B0" w:rsidP="002360B0">
            <w:pPr>
              <w:jc w:val="right"/>
              <w:rPr>
                <w:rFonts w:cs="Tahoma"/>
                <w:color w:val="000000"/>
              </w:rPr>
            </w:pPr>
          </w:p>
          <w:p w:rsidR="002360B0" w:rsidRPr="002360B0" w:rsidRDefault="002360B0" w:rsidP="002360B0">
            <w:pPr>
              <w:jc w:val="right"/>
              <w:rPr>
                <w:rFonts w:cs="Tahoma"/>
                <w:color w:val="000000"/>
              </w:rPr>
            </w:pPr>
          </w:p>
        </w:tc>
      </w:tr>
    </w:tbl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360B0" w:rsidRPr="002360B0" w:rsidRDefault="002360B0" w:rsidP="002360B0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2360B0">
        <w:rPr>
          <w:rFonts w:asciiTheme="minorHAnsi" w:hAnsiTheme="minorHAnsi" w:cs="Tahoma"/>
          <w:color w:val="000000"/>
          <w:sz w:val="22"/>
          <w:szCs w:val="22"/>
        </w:rPr>
        <w:t>LOTE 05 - UTENSÍLIOS DIVERSOS (RESERVA DE COPA MPE) -  VALOR: R$ 18.228,00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567"/>
        <w:gridCol w:w="5528"/>
        <w:gridCol w:w="851"/>
        <w:gridCol w:w="850"/>
        <w:gridCol w:w="851"/>
      </w:tblGrid>
      <w:tr w:rsidR="002360B0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2360B0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2360B0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0B0" w:rsidRPr="002360B0" w:rsidRDefault="002360B0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2360B0" w:rsidRPr="002360B0" w:rsidRDefault="002360B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bCs/>
                <w:kern w:val="36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b/>
                <w:bCs/>
                <w:kern w:val="36"/>
                <w:sz w:val="22"/>
                <w:szCs w:val="22"/>
              </w:rPr>
              <w:t>PAB. VARIÁVEL FR 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Pr="002360B0" w:rsidRDefault="002360B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0B0" w:rsidRPr="002360B0" w:rsidRDefault="002360B0" w:rsidP="00533602">
            <w:pPr>
              <w:jc w:val="right"/>
              <w:rPr>
                <w:rFonts w:cs="Tahoma"/>
                <w:color w:val="000000"/>
              </w:rPr>
            </w:pPr>
          </w:p>
        </w:tc>
      </w:tr>
      <w:tr w:rsidR="000C6619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>Dispenser</w:t>
            </w:r>
            <w:proofErr w:type="spellEnd"/>
            <w:r w:rsidRPr="002360B0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 xml:space="preserve"> para papel toalha branco,</w:t>
            </w:r>
            <w:r w:rsidRPr="002360B0">
              <w:rPr>
                <w:rFonts w:asciiTheme="minorHAnsi" w:hAnsiTheme="minorHAnsi" w:cs="Tahoma"/>
                <w:sz w:val="22"/>
                <w:szCs w:val="22"/>
                <w:bdr w:val="none" w:sz="0" w:space="0" w:color="auto" w:frame="1"/>
              </w:rPr>
              <w:t xml:space="preserve"> fabricado em material termoplástico de alta qualidade e resistência ao impacto, com parafusos e buchas</w:t>
            </w:r>
            <w:r w:rsidRPr="002360B0">
              <w:rPr>
                <w:rStyle w:val="apple-converted-space"/>
                <w:rFonts w:asciiTheme="minorHAnsi" w:hAnsiTheme="minorHAnsi" w:cs="Tahoma"/>
                <w:sz w:val="22"/>
                <w:szCs w:val="22"/>
                <w:bdr w:val="none" w:sz="0" w:space="0" w:color="auto" w:frame="1"/>
              </w:rPr>
              <w:t> inclusos </w:t>
            </w:r>
            <w:r w:rsidRPr="002360B0">
              <w:rPr>
                <w:rFonts w:asciiTheme="minorHAnsi" w:hAnsiTheme="minorHAnsi" w:cs="Tahoma"/>
                <w:sz w:val="22"/>
                <w:szCs w:val="22"/>
                <w:bdr w:val="none" w:sz="0" w:space="0" w:color="auto" w:frame="1"/>
              </w:rPr>
              <w:t>e fechadura de trava. altura:30,0 cm, largura: 26,0 cm, prof.: 12,3 cm.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BE2524" w:rsidRDefault="000C6619" w:rsidP="00BE2524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2524">
              <w:rPr>
                <w:rFonts w:asciiTheme="minorHAnsi" w:hAnsiTheme="minorHAnsi" w:cs="Tahoma"/>
                <w:sz w:val="20"/>
                <w:szCs w:val="20"/>
              </w:rPr>
              <w:t xml:space="preserve">Bell </w:t>
            </w:r>
            <w:proofErr w:type="spellStart"/>
            <w:r w:rsidRPr="00BE2524">
              <w:rPr>
                <w:rFonts w:asciiTheme="minorHAnsi" w:hAnsiTheme="minorHAnsi" w:cs="Tahoma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6619">
              <w:rPr>
                <w:rFonts w:ascii="Calibri" w:hAnsi="Calibri"/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6619">
              <w:rPr>
                <w:rFonts w:ascii="Calibri" w:hAnsi="Calibri"/>
                <w:color w:val="000000"/>
                <w:sz w:val="20"/>
                <w:szCs w:val="20"/>
              </w:rPr>
              <w:t>1912,80</w:t>
            </w:r>
          </w:p>
        </w:tc>
      </w:tr>
      <w:tr w:rsidR="000C6619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Dispenser</w:t>
            </w:r>
            <w:proofErr w:type="spellEnd"/>
            <w:r w:rsidRPr="002360B0">
              <w:rPr>
                <w:rFonts w:asciiTheme="minorHAnsi" w:hAnsiTheme="minorHAnsi" w:cs="Tahoma"/>
                <w:sz w:val="22"/>
                <w:szCs w:val="22"/>
              </w:rPr>
              <w:t xml:space="preserve"> de parede para sabonete líquido, </w:t>
            </w:r>
            <w:r w:rsidRPr="002360B0">
              <w:rPr>
                <w:rFonts w:asciiTheme="minorHAnsi" w:hAnsiTheme="minorHAnsi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>em acrílico transparente, com parafusos buchas e ventosas, possui botão dosador, 500ml, tamanho aproximado: 19,2cm (altura) x 7,4cm (largura) x 10cm (profundidade.)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BE2524" w:rsidRDefault="000C6619" w:rsidP="00BE2524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2524">
              <w:rPr>
                <w:rFonts w:asciiTheme="minorHAnsi" w:hAnsiTheme="minorHAnsi" w:cs="Tahoma"/>
                <w:sz w:val="20"/>
                <w:szCs w:val="20"/>
              </w:rPr>
              <w:t xml:space="preserve">Bell </w:t>
            </w:r>
            <w:proofErr w:type="spellStart"/>
            <w:r w:rsidRPr="00BE2524">
              <w:rPr>
                <w:rFonts w:asciiTheme="minorHAnsi" w:hAnsiTheme="minorHAnsi" w:cs="Tahoma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6619">
              <w:rPr>
                <w:rFonts w:ascii="Calibri" w:hAnsi="Calibri"/>
                <w:color w:val="000000"/>
                <w:sz w:val="20"/>
                <w:szCs w:val="20"/>
              </w:rPr>
              <w:t>28,94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6619">
              <w:rPr>
                <w:rFonts w:ascii="Calibri" w:hAnsi="Calibri"/>
                <w:color w:val="000000"/>
                <w:sz w:val="20"/>
                <w:szCs w:val="20"/>
              </w:rPr>
              <w:t>2315,20</w:t>
            </w:r>
          </w:p>
        </w:tc>
      </w:tr>
      <w:tr w:rsidR="000C6619" w:rsidRPr="002360B0" w:rsidTr="002360B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360B0">
              <w:rPr>
                <w:rFonts w:asciiTheme="minorHAnsi" w:hAnsiTheme="minorHAnsi" w:cs="Tahoma"/>
                <w:sz w:val="18"/>
                <w:szCs w:val="18"/>
              </w:rPr>
              <w:t>20.0000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360B0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619" w:rsidRPr="002360B0" w:rsidRDefault="000C6619" w:rsidP="0053360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360B0">
              <w:rPr>
                <w:rFonts w:asciiTheme="minorHAnsi" w:hAnsiTheme="minorHAnsi" w:cs="Tahoma"/>
                <w:sz w:val="22"/>
                <w:szCs w:val="22"/>
              </w:rPr>
              <w:t>Saco para lixo 100 litros espessura 0,9mm.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619" w:rsidRPr="00BE2524" w:rsidRDefault="000C6619" w:rsidP="00BE2524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BE2524">
              <w:rPr>
                <w:rFonts w:asciiTheme="minorHAnsi" w:hAnsiTheme="minorHAnsi" w:cs="Tahoma"/>
                <w:sz w:val="16"/>
                <w:szCs w:val="16"/>
              </w:rPr>
              <w:t>Multisacos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6619">
              <w:rPr>
                <w:rFonts w:ascii="Calibri" w:hAnsi="Calibri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619" w:rsidRPr="000C6619" w:rsidRDefault="000C661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6619">
              <w:rPr>
                <w:rFonts w:ascii="Calibri" w:hAnsi="Calibri"/>
                <w:color w:val="000000"/>
                <w:sz w:val="18"/>
                <w:szCs w:val="18"/>
              </w:rPr>
              <w:t>14000,00</w:t>
            </w:r>
          </w:p>
        </w:tc>
      </w:tr>
    </w:tbl>
    <w:p w:rsidR="002360B0" w:rsidRPr="002360B0" w:rsidRDefault="002360B0" w:rsidP="002360B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QUARTA</w:t>
      </w:r>
      <w:r w:rsidRPr="002360B0">
        <w:rPr>
          <w:rFonts w:cs="Tahoma"/>
          <w:b/>
          <w:bCs/>
        </w:rPr>
        <w:t xml:space="preserve"> – DA FORMA DE PAGAMENTO</w:t>
      </w:r>
      <w:r w:rsidRPr="002360B0">
        <w:rPr>
          <w:rFonts w:cs="Tahoma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360B0">
        <w:rPr>
          <w:rFonts w:asciiTheme="minorHAnsi" w:hAnsiTheme="minorHAnsi" w:cs="Tahoma"/>
          <w:bCs/>
          <w:sz w:val="22"/>
          <w:szCs w:val="22"/>
        </w:rPr>
        <w:t>j</w:t>
      </w:r>
      <w:r w:rsidRPr="002360B0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.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 </w:t>
      </w: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despesas com a execução deste contrato correrão no orçamento da Dotação Orçamentária: </w:t>
      </w:r>
    </w:p>
    <w:p w:rsidR="000C6619" w:rsidRPr="002360B0" w:rsidRDefault="000C6619" w:rsidP="000C6619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08.001-10.301.0011.2087-4490520000-1011-495; 08.001-10.301.0011.22125-3390300000-916-494 - 10.301.0011.2023--3390300000-1610-495; 08.001-10.301.0011.2024-4490520000-1630-495 - 10.301.0011.2126-4490520000-817-495</w:t>
      </w:r>
      <w:r w:rsidR="00BE2524">
        <w:rPr>
          <w:rFonts w:asciiTheme="minorHAnsi" w:hAnsiTheme="minorHAnsi" w:cs="Tahoma"/>
          <w:sz w:val="22"/>
          <w:szCs w:val="22"/>
        </w:rPr>
        <w:t>.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lastRenderedPageBreak/>
        <w:t>1) Efetuar os pagamentos mediante comprovação de execução dos serviços correspondentes, e de acordo com a cláusula quarta.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360B0">
        <w:rPr>
          <w:rFonts w:asciiTheme="minorHAnsi" w:hAnsiTheme="minorHAnsi" w:cs="Tahoma"/>
          <w:bCs/>
          <w:sz w:val="22"/>
          <w:szCs w:val="22"/>
        </w:rPr>
        <w:t>se</w:t>
      </w:r>
      <w:r w:rsidRPr="002360B0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360B0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360B0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360B0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360B0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6</w:t>
      </w:r>
      <w:r w:rsidRPr="002360B0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2360B0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7) </w:t>
      </w:r>
      <w:r w:rsidRPr="002360B0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2360B0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08) Entregar o objeto  nos locais indicados pela Secretária de Saúde.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2360B0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360B0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E2524">
        <w:rPr>
          <w:rFonts w:asciiTheme="minorHAnsi" w:hAnsiTheme="minorHAnsi" w:cs="Tahoma"/>
          <w:sz w:val="22"/>
          <w:szCs w:val="22"/>
        </w:rPr>
        <w:t xml:space="preserve">01 </w:t>
      </w:r>
      <w:r w:rsidRPr="002360B0">
        <w:rPr>
          <w:rFonts w:asciiTheme="minorHAnsi" w:hAnsiTheme="minorHAnsi" w:cs="Tahoma"/>
          <w:b/>
          <w:sz w:val="22"/>
          <w:szCs w:val="22"/>
        </w:rPr>
        <w:t>-</w:t>
      </w:r>
      <w:r w:rsidRPr="002360B0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360B0" w:rsidRPr="002360B0" w:rsidRDefault="002360B0" w:rsidP="002360B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2360B0" w:rsidRDefault="002360B0" w:rsidP="002360B0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0B0">
        <w:rPr>
          <w:rFonts w:eastAsia="Times New Roman" w:cs="Tahoma"/>
        </w:rPr>
        <w:t>colusivas</w:t>
      </w:r>
      <w:proofErr w:type="spellEnd"/>
      <w:r w:rsidRPr="002360B0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BE2524" w:rsidRPr="002360B0" w:rsidRDefault="00BE2524" w:rsidP="002360B0">
      <w:pPr>
        <w:spacing w:after="0" w:line="285" w:lineRule="atLeast"/>
        <w:jc w:val="both"/>
        <w:rPr>
          <w:rFonts w:eastAsia="Times New Roman" w:cs="Tahoma"/>
        </w:rPr>
      </w:pPr>
    </w:p>
    <w:p w:rsidR="002360B0" w:rsidRPr="002360B0" w:rsidRDefault="002360B0" w:rsidP="002360B0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>03 - Considerando os propósitos das cláusulas acima, o licitante vencedor, como condição para a </w:t>
      </w:r>
    </w:p>
    <w:p w:rsidR="002360B0" w:rsidRPr="002360B0" w:rsidRDefault="002360B0" w:rsidP="002360B0">
      <w:pPr>
        <w:spacing w:after="0" w:line="285" w:lineRule="atLeast"/>
        <w:jc w:val="both"/>
        <w:rPr>
          <w:rFonts w:cs="Tahoma"/>
        </w:rPr>
      </w:pPr>
      <w:r w:rsidRPr="002360B0">
        <w:rPr>
          <w:rFonts w:eastAsia="Times New Roman" w:cs="Tahoma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360B0" w:rsidRPr="002360B0" w:rsidRDefault="002360B0" w:rsidP="002360B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NONA</w:t>
      </w:r>
      <w:r w:rsidRPr="002360B0">
        <w:rPr>
          <w:rFonts w:cs="Tahoma"/>
          <w:b/>
          <w:bCs/>
        </w:rPr>
        <w:t xml:space="preserve"> – DAS PENALIDADES</w:t>
      </w:r>
      <w:r w:rsidRPr="002360B0">
        <w:rPr>
          <w:rFonts w:cs="Tahoma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360B0">
        <w:rPr>
          <w:rFonts w:asciiTheme="minorHAnsi" w:hAnsiTheme="minorHAnsi" w:cs="Tahoma"/>
          <w:sz w:val="22"/>
          <w:szCs w:val="22"/>
        </w:rPr>
        <w:t xml:space="preserve">, sujeitando a </w:t>
      </w:r>
      <w:r w:rsidRPr="002360B0">
        <w:rPr>
          <w:rFonts w:asciiTheme="minorHAnsi" w:hAnsiTheme="minorHAnsi" w:cs="Tahoma"/>
          <w:b/>
          <w:sz w:val="22"/>
          <w:szCs w:val="22"/>
        </w:rPr>
        <w:t>CONTRATADA,</w:t>
      </w:r>
      <w:r w:rsidRPr="002360B0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360B0" w:rsidRPr="002360B0" w:rsidRDefault="002360B0" w:rsidP="002360B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 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2360B0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2360B0" w:rsidRPr="002360B0" w:rsidRDefault="002360B0" w:rsidP="002360B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10(dez) dias da data desejada para o encerramento, em conformidade com o art. 79, II da Lei 8 666/93.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360B0">
        <w:rPr>
          <w:rFonts w:asciiTheme="minorHAnsi" w:hAnsiTheme="minorHAnsi" w:cs="Tahoma"/>
          <w:b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2360B0" w:rsidRPr="002360B0" w:rsidRDefault="002360B0" w:rsidP="002360B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</w:rPr>
        <w:t xml:space="preserve">Independentemente de transcrição, farão parte integrante deste instrumento de Contrato o Edital de Licitação - Modalidade Pregão Presencial nº 058/2018, e a proposta final e adjudicada da </w:t>
      </w:r>
      <w:r w:rsidRPr="002360B0">
        <w:rPr>
          <w:rFonts w:cs="Tahoma"/>
          <w:b/>
          <w:bCs/>
        </w:rPr>
        <w:t>CONTRATADA</w:t>
      </w:r>
      <w:r w:rsidRPr="002360B0">
        <w:rPr>
          <w:rFonts w:cs="Tahoma"/>
        </w:rPr>
        <w:t>.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DÉCIMA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360B0" w:rsidRPr="002360B0" w:rsidRDefault="002360B0" w:rsidP="002360B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Ribeirão do Pinhal, </w:t>
      </w:r>
      <w:r w:rsidR="00BE2524">
        <w:rPr>
          <w:rFonts w:asciiTheme="minorHAnsi" w:hAnsiTheme="minorHAnsi" w:cs="Tahoma"/>
          <w:sz w:val="22"/>
          <w:szCs w:val="22"/>
        </w:rPr>
        <w:t xml:space="preserve">16 de outubro </w:t>
      </w:r>
      <w:r w:rsidRPr="002360B0">
        <w:rPr>
          <w:rFonts w:asciiTheme="minorHAnsi" w:hAnsiTheme="minorHAnsi" w:cs="Tahoma"/>
          <w:sz w:val="22"/>
          <w:szCs w:val="22"/>
        </w:rPr>
        <w:t>de 2018.</w:t>
      </w:r>
    </w:p>
    <w:p w:rsidR="002360B0" w:rsidRPr="002360B0" w:rsidRDefault="002360B0" w:rsidP="002360B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360B0" w:rsidRPr="002360B0" w:rsidRDefault="002360B0" w:rsidP="002360B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360B0" w:rsidRPr="002360B0" w:rsidRDefault="002360B0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KLEBER ARRABAÇA BARBOSA</w:t>
      </w:r>
    </w:p>
    <w:p w:rsidR="002360B0" w:rsidRDefault="002360B0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CPF: 037.529.019-26</w:t>
      </w:r>
    </w:p>
    <w:p w:rsidR="00BE2524" w:rsidRDefault="00BE2524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E2524" w:rsidRPr="002360B0" w:rsidRDefault="00BE2524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360B0" w:rsidRDefault="002360B0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BE2524" w:rsidRPr="002360B0" w:rsidRDefault="00BE2524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360B0" w:rsidRPr="002360B0" w:rsidRDefault="002360B0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360B0" w:rsidRPr="002360B0" w:rsidTr="00533602">
        <w:tc>
          <w:tcPr>
            <w:tcW w:w="4606" w:type="dxa"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BE2524" w:rsidRDefault="00BE2524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2524" w:rsidRPr="002360B0" w:rsidRDefault="00BE2524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0B0" w:rsidRPr="002360B0" w:rsidTr="00533602">
        <w:tc>
          <w:tcPr>
            <w:tcW w:w="4606" w:type="dxa"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360B0" w:rsidRPr="002360B0" w:rsidRDefault="002360B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60B0" w:rsidRPr="002360B0" w:rsidRDefault="002360B0" w:rsidP="002360B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2360B0" w:rsidRPr="002360B0" w:rsidRDefault="002360B0" w:rsidP="002360B0">
      <w:r w:rsidRPr="002360B0">
        <w:rPr>
          <w:rFonts w:cstheme="minorHAnsi"/>
        </w:rPr>
        <w:t>OAB N.º 35546 - DPTO JURÍDICO</w:t>
      </w:r>
    </w:p>
    <w:p w:rsidR="00053911" w:rsidRPr="002360B0" w:rsidRDefault="00053911"/>
    <w:sectPr w:rsidR="00053911" w:rsidRPr="002360B0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BE252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BE252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BE252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BE25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BE25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BE252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0B0"/>
    <w:rsid w:val="00053911"/>
    <w:rsid w:val="000C6619"/>
    <w:rsid w:val="002360B0"/>
    <w:rsid w:val="00BE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6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6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36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60B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360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360B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3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6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3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360B0"/>
    <w:rPr>
      <w:b/>
      <w:bCs/>
    </w:rPr>
  </w:style>
  <w:style w:type="character" w:customStyle="1" w:styleId="apple-converted-space">
    <w:name w:val="apple-converted-space"/>
    <w:basedOn w:val="Fontepargpadro"/>
    <w:rsid w:val="00236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1932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2018-10-16T12:32:00Z</cp:lastPrinted>
  <dcterms:created xsi:type="dcterms:W3CDTF">2018-10-16T12:07:00Z</dcterms:created>
  <dcterms:modified xsi:type="dcterms:W3CDTF">2018-10-16T12:33:00Z</dcterms:modified>
</cp:coreProperties>
</file>