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88" w:rsidRPr="00D64320" w:rsidRDefault="004C7B88" w:rsidP="004C7B88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ATA REGISTRO DE PREÇOS 006/2020 – PREGÃO PRESENCIAL N.º 070/2019.</w:t>
      </w:r>
    </w:p>
    <w:p w:rsidR="004C7B88" w:rsidRPr="00D64320" w:rsidRDefault="004C7B88" w:rsidP="004C7B8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 Aos vinte e dois dias do mês de janeiro de dois mil e vinte (22/01/2020) o Município de Ribeirão do Pinhal – Estado do Paraná, Inscrito sob CNPJ n.º 76.968.064/0001-42, com sede a Rua Paraná n.º 983 – Centro, neste ato representado pelo Prefeito Municipal, o Senhor </w:t>
      </w:r>
      <w:r w:rsidRPr="00D64320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D64320">
        <w:rPr>
          <w:rFonts w:asciiTheme="minorHAnsi" w:hAnsiTheme="minorHAnsi" w:cstheme="minorHAnsi"/>
          <w:sz w:val="22"/>
          <w:szCs w:val="22"/>
        </w:rPr>
        <w:t>, portador do RG 10733456-2 SSP/PR, inscrito sob CPF/MF n.º 052.206.749-27, brasileiro</w:t>
      </w:r>
      <w:r w:rsidRPr="00D6432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64320">
        <w:rPr>
          <w:rFonts w:asciiTheme="minorHAnsi" w:hAnsiTheme="minorHAnsi" w:cstheme="minorHAnsi"/>
          <w:sz w:val="22"/>
          <w:szCs w:val="22"/>
        </w:rPr>
        <w:t xml:space="preserve">casado, neste ato simplesmente denominado </w:t>
      </w:r>
      <w:r w:rsidRPr="00D64320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64320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D64320">
        <w:rPr>
          <w:rFonts w:asciiTheme="minorHAnsi" w:hAnsiTheme="minorHAnsi" w:cstheme="minorHAnsi"/>
          <w:b/>
          <w:sz w:val="20"/>
          <w:szCs w:val="20"/>
        </w:rPr>
        <w:t>DISTRIBUIDORA DE LUBRIFICANTES PETRO OESTE EIRELI</w:t>
      </w:r>
      <w:r w:rsidRPr="00D64320">
        <w:rPr>
          <w:rFonts w:asciiTheme="minorHAnsi" w:hAnsiTheme="minorHAnsi" w:cstheme="minorHAnsi"/>
          <w:sz w:val="22"/>
          <w:szCs w:val="22"/>
        </w:rPr>
        <w:t xml:space="preserve">, inscrita no CNPJ sob nº. </w:t>
      </w:r>
      <w:r w:rsidRPr="00D64320">
        <w:rPr>
          <w:rFonts w:asciiTheme="minorHAnsi" w:hAnsiTheme="minorHAnsi" w:cstheme="minorHAnsi"/>
          <w:sz w:val="20"/>
          <w:szCs w:val="20"/>
        </w:rPr>
        <w:t xml:space="preserve">30.572.270/0001-38 </w:t>
      </w:r>
      <w:r w:rsidRPr="00D64320">
        <w:rPr>
          <w:rFonts w:asciiTheme="minorHAnsi" w:hAnsiTheme="minorHAnsi" w:cstheme="minorHAnsi"/>
          <w:sz w:val="22"/>
          <w:szCs w:val="22"/>
        </w:rPr>
        <w:t xml:space="preserve">com sede na Rodovia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467 KM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78 sala 01 – Bairro Jardim Aurora - CEP: 85.900-970 – 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CX.Postal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 xml:space="preserve"> 08 na cidade de Toledo - PR, </w:t>
      </w:r>
      <w:r w:rsidRPr="00D64320">
        <w:rPr>
          <w:rFonts w:asciiTheme="minorHAnsi" w:hAnsiTheme="minorHAnsi" w:cstheme="minorHAnsi"/>
          <w:b/>
          <w:sz w:val="22"/>
          <w:szCs w:val="22"/>
        </w:rPr>
        <w:t xml:space="preserve">Fone Comercial (45) 3125-2550, (45) 99923-4946 e (45)99993-2109  e-mail </w:t>
      </w:r>
      <w:hyperlink r:id="rId8" w:history="1">
        <w:r w:rsidRPr="00D6432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licitacao@petroeste.com.br</w:t>
        </w:r>
      </w:hyperlink>
      <w:r w:rsidRPr="00D64320">
        <w:rPr>
          <w:rFonts w:asciiTheme="minorHAnsi" w:hAnsiTheme="minorHAnsi" w:cstheme="minorHAnsi"/>
          <w:b/>
          <w:sz w:val="22"/>
          <w:szCs w:val="22"/>
        </w:rPr>
        <w:t xml:space="preserve"> e </w:t>
      </w:r>
      <w:hyperlink r:id="rId9" w:history="1">
        <w:r w:rsidRPr="00D6432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administracao@petroeste.com.br</w:t>
        </w:r>
      </w:hyperlink>
      <w:r w:rsidRPr="00D64320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Pr="00D64320">
        <w:rPr>
          <w:rFonts w:asciiTheme="minorHAnsi" w:hAnsiTheme="minorHAnsi" w:cstheme="minorHAnsi"/>
          <w:sz w:val="22"/>
          <w:szCs w:val="22"/>
        </w:rPr>
        <w:t xml:space="preserve">neste ato representado pelo senhor </w:t>
      </w:r>
      <w:r w:rsidRPr="00D64320">
        <w:rPr>
          <w:rFonts w:asciiTheme="minorHAnsi" w:hAnsiTheme="minorHAnsi" w:cstheme="minorHAnsi"/>
          <w:b/>
          <w:sz w:val="22"/>
          <w:szCs w:val="22"/>
        </w:rPr>
        <w:t>FERNANDO FABIANO FAVERO</w:t>
      </w:r>
      <w:r w:rsidRPr="00D64320">
        <w:rPr>
          <w:rFonts w:asciiTheme="minorHAnsi" w:hAnsiTheme="minorHAnsi" w:cstheme="minorHAnsi"/>
          <w:sz w:val="22"/>
          <w:szCs w:val="22"/>
        </w:rPr>
        <w:t xml:space="preserve">, brasileiro, solteiro, empresário, portador de Cédula de Identidade n.º 8.824.005-7 SESP/PR e inscrita sob CPF/MF n.º 008.172.319-94, residente e domiciliado à Rua Carlos Aldino 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Rippel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 xml:space="preserve"> – 062 – Jardim Gisela - CEP: 85.905-094 na cidade de na cidade de Toledo - PR, neste ato simplesmente denominado </w:t>
      </w:r>
      <w:r w:rsidRPr="00D64320">
        <w:rPr>
          <w:rFonts w:asciiTheme="minorHAnsi" w:hAnsiTheme="minorHAnsi" w:cstheme="minorHAnsi"/>
          <w:b/>
          <w:sz w:val="22"/>
          <w:szCs w:val="22"/>
          <w:u w:val="single"/>
        </w:rPr>
        <w:t>CONTRATADO</w:t>
      </w:r>
      <w:r w:rsidRPr="00D64320">
        <w:rPr>
          <w:rFonts w:asciiTheme="minorHAnsi" w:hAnsiTheme="minorHAnsi" w:cstheme="minorHAnsi"/>
          <w:sz w:val="22"/>
          <w:szCs w:val="22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Presencial nº 070/2019, consoante as seguintes cláusulas e condições.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 - DO OBJETO</w:t>
      </w:r>
    </w:p>
    <w:p w:rsidR="004C7B88" w:rsidRPr="00D64320" w:rsidRDefault="004C7B88" w:rsidP="004C7B88">
      <w:pPr>
        <w:jc w:val="both"/>
        <w:rPr>
          <w:rFonts w:cstheme="minorHAnsi"/>
        </w:rPr>
      </w:pPr>
      <w:proofErr w:type="gramStart"/>
      <w:r w:rsidRPr="00D64320">
        <w:rPr>
          <w:rFonts w:cstheme="minorHAnsi"/>
        </w:rPr>
        <w:t>A presente</w:t>
      </w:r>
      <w:proofErr w:type="gramEnd"/>
      <w:r w:rsidRPr="00D64320">
        <w:rPr>
          <w:rFonts w:cstheme="minorHAnsi"/>
        </w:rPr>
        <w:t xml:space="preserve"> Ata tem por objeto o registro de preços para possível aquisição de óleos, filtros lubrificantes, aditivos, graxas e produtos de limpeza para os veículos da frota municipal, conforme solicitação da Secretaria de Transporte e Viação, Secretaria de Educação e Secretaria de Saúde</w:t>
      </w:r>
      <w:r w:rsidR="00D64320">
        <w:rPr>
          <w:rFonts w:cstheme="minorHAnsi"/>
        </w:rPr>
        <w:t xml:space="preserve"> </w:t>
      </w:r>
      <w:r w:rsidRPr="00D64320">
        <w:rPr>
          <w:rFonts w:cstheme="minorHAnsi"/>
        </w:rPr>
        <w:t xml:space="preserve">dos itens constantes nesse instrumento, conforme consta na proposta anexada ao Processo Licitatório Modalidade Pregão Presencial, registrado sob n.º </w:t>
      </w:r>
      <w:r w:rsidRPr="00D64320">
        <w:rPr>
          <w:rFonts w:cstheme="minorHAnsi"/>
          <w:b/>
        </w:rPr>
        <w:t>070/2019</w:t>
      </w:r>
      <w:r w:rsidRPr="00D64320">
        <w:rPr>
          <w:rFonts w:cstheme="minorHAnsi"/>
        </w:rPr>
        <w:t>, a qual fará parte integrante deste instrumento.</w:t>
      </w:r>
      <w:r w:rsidR="00D64320">
        <w:rPr>
          <w:rFonts w:cstheme="minorHAnsi"/>
        </w:rPr>
        <w:t xml:space="preserve"> </w:t>
      </w:r>
      <w:r w:rsidRPr="00D64320">
        <w:rPr>
          <w:rFonts w:cstheme="minorHAnsi"/>
        </w:rPr>
        <w:t>A empresa acima qualificada obriga-se a fornecer à Prefeitura Municipal de Ribeirão do Pinhal (PR), de acordo com as solicitações feitas pela CONTRATANTE, os itens relacionados na cláusula terceira.</w:t>
      </w:r>
      <w:r w:rsidR="00D64320">
        <w:rPr>
          <w:rFonts w:cstheme="minorHAnsi"/>
        </w:rPr>
        <w:t xml:space="preserve"> </w:t>
      </w:r>
      <w:r w:rsidRPr="00D64320">
        <w:rPr>
          <w:rFonts w:cstheme="minorHAnsi"/>
        </w:rPr>
        <w:t>O responsável pela solicitação, recebimento, conferência e fiscalização dos produtos será o senhor CARLOS ALBERTO PEROLI (43)3551-8301 ou 996406937.</w:t>
      </w:r>
    </w:p>
    <w:p w:rsidR="004C7B88" w:rsidRPr="00D64320" w:rsidRDefault="004C7B88" w:rsidP="004C7B88">
      <w:pPr>
        <w:rPr>
          <w:rFonts w:cstheme="minorHAnsi"/>
          <w:b/>
          <w:u w:val="single"/>
        </w:rPr>
      </w:pPr>
      <w:r w:rsidRPr="00D64320">
        <w:rPr>
          <w:rFonts w:cstheme="minorHAnsi"/>
          <w:b/>
          <w:u w:val="single"/>
        </w:rPr>
        <w:t>CLÁUSULA SEGUNDA – DA VIGÊNCIA, PRAZO E CONDIÇÕES DE ENTREGA. 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01.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A presente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Ata de Registro de Preços terá a vigência por 12 (doze) meses, a partir da sua assinatura nos termos do Artigo 57 da Lei Federal nº 8.666/93 e Decreto Federal nº 7.892/13, Art. 12º, caput, e seus parágrafos, encerrando-se no dia </w:t>
      </w:r>
      <w:r w:rsidRPr="00D64320">
        <w:rPr>
          <w:rFonts w:asciiTheme="minorHAnsi" w:hAnsiTheme="minorHAnsi" w:cstheme="minorHAnsi"/>
          <w:b/>
          <w:sz w:val="22"/>
          <w:szCs w:val="22"/>
        </w:rPr>
        <w:t xml:space="preserve">20/01/2021, </w:t>
      </w:r>
      <w:r w:rsidRPr="00D64320">
        <w:rPr>
          <w:rFonts w:asciiTheme="minorHAnsi" w:hAnsiTheme="minorHAnsi" w:cstheme="minorHAnsi"/>
          <w:sz w:val="22"/>
          <w:szCs w:val="22"/>
        </w:rPr>
        <w:t>podendo ser prorrogada por igual período, ou até final do saldo estipulado, dependendo do interesse da Administração Pública Municipal.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02. A entrega do objeto deverá ser parcelada e efetuada de acordo com as necessidades da Contratante, conforme solicitações dos departamentos/secretarias, após o recebimento da Autorização de Compra expedida pelo Departamento Municipal de Compras, Licitações e Contratos.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 03. O Município não está obrigado a adquirir uma quantidade mínima do produto, ficando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a seu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exclusivo critério a definição da quantidade e do momento da aquisição.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 04. Todos os bens fornecidos serão conferidos no momento da entrega, e se a quantidade e/ou qualidade dos mesmos não corresponder às especificações exigidas, a remessa apresentada será </w:t>
      </w:r>
      <w:r w:rsidRPr="00D64320">
        <w:rPr>
          <w:rFonts w:asciiTheme="minorHAnsi" w:hAnsiTheme="minorHAnsi" w:cstheme="minorHAnsi"/>
          <w:sz w:val="22"/>
          <w:szCs w:val="22"/>
        </w:rPr>
        <w:lastRenderedPageBreak/>
        <w:t xml:space="preserve">devolvida para substituição, adequações e/ou 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reexecução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 xml:space="preserve">, no prazo máximo de 03 (três) dias úteis, sem prejuízo da aplicação das penalidades cabíveis.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05. O (s) bem (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ens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>) objeto deste edital deverá (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ão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>) ser entregue (s) acompanhado (s) de nota (s) fiscal (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 xml:space="preserve">) distinta(s), ou seja, de acordo com a Autorização de Entrega, constando o número da mesma, o valor unitário, a quantidade, o valor total e o local da entrega, além das demais exigências legais como número do processo licitatório e dados bancários.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06. O recebimento definitivo do objeto deste Edital, não exime o fornecedor de ser responsabilizado, dentro das penalidades previstas na Lei Federal nº 8.666/93 e alterações, pela má qualidade que venha a ser constatada durante o uso, dentro do prazo de validade, dos produtos fornecidos.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07. Os produtos adjudicados deverão ser entregues ou conforme descrito em cada Requisição/Autorização de Entrega emitida pelo Departamento Municipal de Compras, Licitações e Contratos, mediante Termo de Recebimento Provisório ou Definitivo, emitido pelos Responsáveis pelo recebimento dos objetos.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 08. A CONTRATADA obriga-se a fornecer o produto a que se refere este Pregão Presencial de acordo estritamente com as especificações descritas na Autorização de Entrega, conforme os termos do Edital, sendo de sua inteira responsabilidade a substituição do produto quando constatado não estar em conformidade com as referidas especificações.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 – DO PREÇO DOS BENS E DAS QUANTIDADES</w:t>
      </w:r>
      <w:r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01. Os valores para aquisição do objeto do Processo são os que constam na proposta enviada pela </w:t>
      </w:r>
      <w:r w:rsidRPr="00D64320">
        <w:rPr>
          <w:rFonts w:asciiTheme="minorHAnsi" w:hAnsiTheme="minorHAnsi" w:cstheme="minorHAnsi"/>
          <w:b/>
          <w:sz w:val="22"/>
          <w:szCs w:val="22"/>
        </w:rPr>
        <w:t>CONTRATADA</w:t>
      </w:r>
      <w:r w:rsidRPr="00D64320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00"/>
        <w:gridCol w:w="670"/>
        <w:gridCol w:w="5000"/>
        <w:gridCol w:w="992"/>
        <w:gridCol w:w="737"/>
        <w:gridCol w:w="1106"/>
      </w:tblGrid>
      <w:tr w:rsidR="004C7B88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QTDE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88" w:rsidRPr="00D64320" w:rsidRDefault="004C7B88" w:rsidP="004C7B88">
            <w:pPr>
              <w:pStyle w:val="SemEspaamento"/>
              <w:ind w:right="-1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UNID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88" w:rsidRPr="00D64320" w:rsidRDefault="004C7B88" w:rsidP="00703EBD">
            <w:pPr>
              <w:pStyle w:val="SemEspaamen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88" w:rsidRPr="00D64320" w:rsidRDefault="004C7B88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MARCA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88" w:rsidRPr="00D64320" w:rsidRDefault="004C7B88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UNIT.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88" w:rsidRPr="00D64320" w:rsidRDefault="004C7B88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TOTAL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36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caixas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Aditivo para radiadores c/ 24 litros linha pesada diesel (ABNT 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NBR13705: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2016) RESRVA DE COTA MPE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Powerbril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375,00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13500,00</w:t>
            </w:r>
          </w:p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ar condicionado ACP303 (Voyage)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18,60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111,60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ART 6098 (Voyage)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28,50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anti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polem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500086267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50C7 Daily)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52,20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208,80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ar ARL5053 ACP 809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Citroem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AIR CROSS)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24,60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147,60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ar ARS 1014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Ducato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49,00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294,00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ar condicionado ACP 809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Citroem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AIR CROSS)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21,90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131,40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ar secundário ARS 837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Cam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Tector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240E22 e 150E21</w:t>
            </w:r>
            <w:proofErr w:type="gram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80,80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969,60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combustível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fleetguard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FF5612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170,50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1023,00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13023177-1678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Combat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935 H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190,50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1143,00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AP 2032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Motoniveladora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FG 70 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Allis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125,00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AP 9834 </w:t>
            </w:r>
            <w:r w:rsidRPr="00D64320">
              <w:rPr>
                <w:rFonts w:asciiTheme="minorHAnsi" w:hAnsiTheme="minorHAnsi" w:cstheme="minorHAnsi"/>
                <w:sz w:val="18"/>
                <w:szCs w:val="18"/>
              </w:rPr>
              <w:t>(motores Mercedes OM 366 e Case W20D)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53,50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856,00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AP7998 (Mercedes Benz – ASE1593 Diesel)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ARL 4154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Gran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Siena)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28,80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172,80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ARL 6096 (Gol 1.0 - 2006)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19,90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159,20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ARS 2711 (Caminhão GMC 12170 Caçamba)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183,00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ASR 839 Cargo 1723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57,00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342,00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CA10221 - IVECO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88,50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1062,00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CA 11104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26,00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CA 5627 (Fiat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Strada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27,30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81,90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condicionado 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7T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-7358 </w:t>
            </w: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Motoniveladora</w:t>
            </w:r>
            <w:proofErr w:type="spellEnd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 xml:space="preserve"> Caterpillar 120k)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195,00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condicionado ACP 103 (Fiat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Strada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12,35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74,10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49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FA 145S (Renault Master)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ar interno JCB580/12021 (Pá carregadeira JCB422ZX)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206,00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824,00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p778994 (Ônibus MARCOPOLO VOLARE)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71,50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572,00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ar primário ARRS 9839 (Caminhão MB 2729)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primário ARS9840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(MERCEDES ATRON </w:t>
            </w:r>
            <w:proofErr w:type="gram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1635 ANO</w:t>
            </w:r>
            <w:proofErr w:type="gram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2018)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53,50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160,50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primário ASR 5673(Cargo 1719 e 1317E)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72,50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secundário ASR941 </w:t>
            </w:r>
            <w:r w:rsidRPr="00D64320">
              <w:rPr>
                <w:rFonts w:asciiTheme="minorHAnsi" w:hAnsiTheme="minorHAnsi" w:cstheme="minorHAnsi"/>
                <w:sz w:val="14"/>
                <w:szCs w:val="14"/>
              </w:rPr>
              <w:t xml:space="preserve">(MERCEDES ATRON </w:t>
            </w:r>
            <w:proofErr w:type="gramStart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1635 ANO</w:t>
            </w:r>
            <w:proofErr w:type="gramEnd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 xml:space="preserve"> 2018)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141,50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424,50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SRS1805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18,89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56,67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ar SRS-6080 (Ambulância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Citroen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56,00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VWBR04C129620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62,00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ar SSR-6675 – IPECA (Marcopolo Volare)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44,70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268,20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combustível 215WK - IVECO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127,00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combustível CI5017 KOMBI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combustível FBD 496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(Pá Carregadeira 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Combat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935 H</w:t>
            </w:r>
            <w:proofErr w:type="gram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combustível FBD 353 VOLKS BUS 15190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56,00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combustível FS19517 Trator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Jhon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Deere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223,00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892,00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combustível GI 04/7 (Fiat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Strada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Gran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Siena)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11,20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134,40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combustível JCB320/07309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(Pá carregadeira JCB422ZX)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242,00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combustível P 21255 (Trator Valtra 785)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19,13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172,17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combustível PSC 496 (MF 86HS e 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Allis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FB80.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24,74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593,76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combustível PSC 743 (Cargo 1719 e 1723)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combustível PSC 990/1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(Caminhão GMC 12170 caçamba)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39,74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1033,24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DIESEL 5801986263/SO10038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69,54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278,16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DIESEL E90KPD164 (Renault Master)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34,90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DIESEL FCBR 58S (Marcopolo Volare)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99,90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599,40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lubrificante 1B-962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(Pá Carregadeira 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Combat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935 H</w:t>
            </w:r>
            <w:proofErr w:type="gram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33,97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135,88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lubrificante 1R-1807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Motoniveladora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Caterpillar 120k)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51,94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311,64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LUBRIFICANTE PEL 2002 (Caminhão MB 2729)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39,52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237,12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lubrificante PL447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(MERCEDES ATRON </w:t>
            </w:r>
            <w:proofErr w:type="gram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1635 ANO</w:t>
            </w:r>
            <w:proofErr w:type="gram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2018)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44,88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134,64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lubrificante PL 519 ou L4/1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Motoniveladora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FG 70 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Allis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e Case W20D)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28,81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460,96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lubrificante PSL 366 (motores Mercedes OM 366)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36,28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435,36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lubrificante PSL 417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(Caminhão GMC 12170 Caçamba)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37,07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222,42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lubrificante PSL 55 (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Fiat UNO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1000 FIRE)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574,00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24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de lubrificante PSL 560 (Gol 1.0 – 2006 e </w:t>
            </w: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kombi</w:t>
            </w:r>
            <w:proofErr w:type="spellEnd"/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14,92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358,08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motor lubrificante H17W29 - IVECO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91,24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364,96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CH 5261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21,00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126,00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motor LF 16352 VOLARE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154,80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1238,40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GM 93370535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25,12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1004,80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PEL 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34,79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695,80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PO BR84S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60,46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483,68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134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PSL 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59,32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355,92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 óleo PSL 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90,36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722,88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desumidificador DSF 0202 (</w:t>
            </w: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Cam.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Ford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Cargo 1317E)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diesel (separador de água) PSD530-1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54,80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328,80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18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direção PH346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(Caminhão Ford Cargo 1317 E </w:t>
            </w:r>
            <w:proofErr w:type="gram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Cam.</w:t>
            </w:r>
            <w:proofErr w:type="gram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Cargo1723)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10,60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190,80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ar condicionado ACP 105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Ducato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21,11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126,66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do ar condicionado ACP 603 (Caminhão MB 2729)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22,79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136,74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do ARLA AS 2500 (Cargo 1719 e 1723)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85,53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1026,36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hidráulico JCB40/300893 (Pá carregadeira JCB422ZX)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219,87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879,48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5801671974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50C7 Daily)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127,39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509,56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lubrificante </w:t>
            </w: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cummins</w:t>
            </w:r>
            <w:proofErr w:type="spellEnd"/>
            <w:proofErr w:type="gramEnd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 xml:space="preserve"> 3937736 – </w:t>
            </w:r>
            <w:proofErr w:type="spellStart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>fleetguard</w:t>
            </w:r>
            <w:proofErr w:type="spellEnd"/>
            <w:r w:rsidRPr="00D64320">
              <w:rPr>
                <w:rFonts w:asciiTheme="minorHAnsi" w:hAnsiTheme="minorHAnsi" w:cstheme="minorHAnsi"/>
                <w:sz w:val="14"/>
                <w:szCs w:val="14"/>
              </w:rPr>
              <w:t xml:space="preserve"> LF3970 (ROLO XCMG)</w:t>
            </w: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92,50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555,00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lubrificante PEC 3023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Ducato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73,25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439,50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lubrificante PSL962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lubrificante TM5 (Fiat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Strada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18,00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Filtro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óleo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FEETGURD FF5706 (Volare V8L)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292,00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1460,00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sedimentador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30microns JCB32925994 (Pá JCB422ZX)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143,43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286,86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sedimentador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PSD 460/1 (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Cam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Tector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240E22 e 150E21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44,51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534,12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sedimentador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PSD 920/1 (Caminhão MB 2729)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105,34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632,04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sedimentador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PSL 950/1(Cargo 1719 e 1723)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99,00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1188,00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separador d’água AGRALE 6013006035007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(Volare V8L)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79,00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395,00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separador d’água </w:t>
            </w: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5802311095 </w:t>
            </w:r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>Iveco</w:t>
            </w:r>
            <w:proofErr w:type="spellEnd"/>
            <w:r w:rsidRPr="00D64320">
              <w:rPr>
                <w:rFonts w:asciiTheme="minorHAnsi" w:hAnsiTheme="minorHAnsi" w:cstheme="minorHAnsi"/>
                <w:sz w:val="16"/>
                <w:szCs w:val="16"/>
              </w:rPr>
              <w:t xml:space="preserve"> 50C7 Daily)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189,37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757,48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179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Filtro separador de água ASD960/1 </w:t>
            </w:r>
            <w:r w:rsidRPr="00D64320">
              <w:rPr>
                <w:rFonts w:asciiTheme="minorHAnsi" w:hAnsiTheme="minorHAnsi" w:cstheme="minorHAnsi"/>
                <w:sz w:val="15"/>
                <w:szCs w:val="15"/>
              </w:rPr>
              <w:t>(Caminhão Ford Cargo 1317 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41,35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496,20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separador de água BCL9476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29,17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175,02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Filtro separador de água H160WK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Vox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127,17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1017,36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caixas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Óleo de motor sintético SAE</w:t>
            </w:r>
            <w:r w:rsidR="00C67970"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5w40 CF ACEA C3 c/ 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Energis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384,16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768,32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baldes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Óleo hidráulico ATF DEXRON II – c/ 20 litros (Caminhão </w:t>
            </w:r>
            <w:proofErr w:type="spellStart"/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MB;</w:t>
            </w:r>
            <w:proofErr w:type="gram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GMC;Ford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Cargo; Pá Carregadeira Combat;W20; FG 70)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Energis</w:t>
            </w:r>
            <w:proofErr w:type="spellEnd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372,42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13034,70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64320">
              <w:rPr>
                <w:rFonts w:asciiTheme="minorHAnsi" w:eastAsia="Arial Unicode MS" w:hAnsiTheme="minorHAnsi" w:cstheme="minorHAnsi"/>
                <w:sz w:val="20"/>
                <w:szCs w:val="20"/>
              </w:rPr>
              <w:t>baldes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Óleo hidráulico VG68 c/ 20 litros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Multlub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163,49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13079,20</w:t>
            </w:r>
          </w:p>
        </w:tc>
      </w:tr>
      <w:tr w:rsidR="00703EBD" w:rsidRPr="00D64320" w:rsidTr="00703EBD">
        <w:trPr>
          <w:trHeight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EBD" w:rsidRPr="00D64320" w:rsidRDefault="00703EBD" w:rsidP="00703EBD">
            <w:pPr>
              <w:pStyle w:val="SemEspaamen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C67970" w:rsidP="00703EBD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03EBD" w:rsidRPr="00D64320">
              <w:rPr>
                <w:rFonts w:asciiTheme="minorHAnsi" w:hAnsiTheme="minorHAnsi" w:cstheme="minorHAnsi"/>
                <w:sz w:val="20"/>
                <w:szCs w:val="20"/>
              </w:rPr>
              <w:t>otal</w:t>
            </w:r>
            <w:proofErr w:type="gramStart"/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3EBD"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4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EBD" w:rsidRPr="00D64320" w:rsidRDefault="00703EBD" w:rsidP="00703EBD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87712,74</w:t>
            </w:r>
          </w:p>
        </w:tc>
      </w:tr>
    </w:tbl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02. O preço registrado poderá a critério da Administração, justificadamente, ser objeto de reequilíbrio econômico financeiro, para menos ou para mais, nos termos do art. 65, inciso II, letra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"d‟, da Lei Federal nº 8.666/93.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 03.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 04. Quando o preço registrado tornar-se superior ao praticado no mercado, o Órgão Gerenciador deverá: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a) Convocar o fornecedor do bem ou prestador do serviço visando à negociação para a redução de preços e sua adequação ao mercado;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c) Convocar os demais fornecedores, visando igual oportunidade de negociação.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Quando não houver êxito nas negociações para a readequação de preços, o Órgão Gerenciador cancelará o preço do bem ou do serviço registrado, publicando ATA COMPLEMENTAR da decisão.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sz w:val="22"/>
          <w:szCs w:val="22"/>
          <w:u w:val="single"/>
        </w:rPr>
        <w:t>CLÁUSULA QUARTA: Do Cancelamento do Preço Registrado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lastRenderedPageBreak/>
        <w:t xml:space="preserve"> 01. O fornecedor do bem ou prestador do serviço terá seu preço registrado cancelado quando: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a) Descumprir as condições da ata de registro de preços;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b) Recusar-se a celebrar o contrato ou não retirar a Autorização de Fornecimento, no prazo estabelecido pela Administração, sem justificativa aceitável;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c) Não aceitar reduzir o seu preço registrado, quando este se tornar superior àqueles praticados no mercado;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d) For suspenso ou declarado inidôneo para licitar ou contratar com a Administração nos termos do artigo 87, inciso IV, da Lei Federal nº 8.666/93;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e) For impedido de licitar e contratar com a Administração nos termos do artigo 7º da Lei Federal nº 10.520/02.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02. O fornecedor do bem ou prestador do serviço poderá solicitar o cancelamento do seu preço registrado na ocorrência de fato superveniente que venha comprometer a perfeita execução contratual, decorrente de caso fortuito ou de força maior devidamente comprovado. O cancelamento do preço registrado, assegurados o contraditório e a ampla defesa, será formalizado por decisão da autoridade competente do Órgão Gerenciador e publicado no Jornal Oficial do Município e por meios eletrônicos.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4320">
        <w:rPr>
          <w:rFonts w:asciiTheme="minorHAnsi" w:hAnsiTheme="minorHAnsi" w:cstheme="minorHAnsi"/>
          <w:b/>
          <w:sz w:val="22"/>
          <w:szCs w:val="22"/>
          <w:u w:val="single"/>
        </w:rPr>
        <w:t>CLÁUSULA QUINTA: Da Garantia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 A CONTRATADA se obriga a prestar garantia dos produtos cotados, na forma da Lei, conforme especificada na sua proposta de preços, e item "II" do Edital </w:t>
      </w:r>
      <w:r w:rsidRPr="00D64320">
        <w:rPr>
          <w:rFonts w:asciiTheme="minorHAnsi" w:hAnsiTheme="minorHAnsi" w:cstheme="minorHAnsi"/>
          <w:b/>
          <w:sz w:val="22"/>
          <w:szCs w:val="22"/>
        </w:rPr>
        <w:t>PR 070/2019</w:t>
      </w:r>
      <w:r w:rsidRPr="00D64320">
        <w:rPr>
          <w:rFonts w:asciiTheme="minorHAnsi" w:hAnsiTheme="minorHAnsi" w:cstheme="minorHAnsi"/>
          <w:sz w:val="22"/>
          <w:szCs w:val="22"/>
        </w:rPr>
        <w:t xml:space="preserve"> que passa a ser parte integrante deste instrumento, independente de transcrição.</w:t>
      </w:r>
      <w:r w:rsidR="00D64320">
        <w:rPr>
          <w:rFonts w:asciiTheme="minorHAnsi" w:hAnsiTheme="minorHAnsi" w:cstheme="minorHAnsi"/>
          <w:sz w:val="22"/>
          <w:szCs w:val="22"/>
        </w:rPr>
        <w:t xml:space="preserve"> </w:t>
      </w:r>
      <w:r w:rsidRPr="00D64320">
        <w:rPr>
          <w:rFonts w:asciiTheme="minorHAnsi" w:hAnsiTheme="minorHAnsi" w:cstheme="minorHAnsi"/>
          <w:sz w:val="22"/>
          <w:szCs w:val="22"/>
        </w:rPr>
        <w:t>Para efeitos de garantia, a vigência dos contratos decorrentes desta Ata de Registro de Preços se dará até o término da garantia ofertada para os produtos pela CONTRATADA, conforme descrito na sua Proposta de Preços.</w:t>
      </w:r>
    </w:p>
    <w:p w:rsidR="004C7B88" w:rsidRPr="00D64320" w:rsidRDefault="004C7B88" w:rsidP="004C7B88">
      <w:pPr>
        <w:spacing w:before="100" w:beforeAutospacing="1" w:after="100" w:afterAutospacing="1"/>
        <w:jc w:val="both"/>
        <w:rPr>
          <w:rFonts w:cstheme="minorHAnsi"/>
          <w:u w:val="single"/>
        </w:rPr>
      </w:pPr>
      <w:r w:rsidRPr="00D64320">
        <w:rPr>
          <w:rFonts w:cstheme="minorHAnsi"/>
          <w:b/>
          <w:bCs/>
          <w:u w:val="single"/>
        </w:rPr>
        <w:t>CLÁUSULA SEXTA – DA FORMA DE PAGAMENTO</w:t>
      </w:r>
      <w:r w:rsidRPr="00D64320">
        <w:rPr>
          <w:rFonts w:cstheme="minorHAnsi"/>
          <w:u w:val="single"/>
        </w:rPr>
        <w:t> </w:t>
      </w:r>
    </w:p>
    <w:p w:rsidR="004C7B88" w:rsidRPr="00D64320" w:rsidRDefault="004C7B88" w:rsidP="004C7B8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O pagamento será efetuado por Transferência eletrônica (TED) em </w:t>
      </w:r>
      <w:r w:rsidRPr="00D64320">
        <w:rPr>
          <w:rFonts w:asciiTheme="minorHAnsi" w:hAnsiTheme="minorHAnsi" w:cstheme="minorHAnsi"/>
          <w:b/>
          <w:sz w:val="22"/>
          <w:szCs w:val="22"/>
        </w:rPr>
        <w:t>conta corrente n.º 38022-9 – Agência 4351 Banco SICOOB 756</w:t>
      </w:r>
      <w:r w:rsidRPr="00D64320">
        <w:rPr>
          <w:rFonts w:asciiTheme="minorHAnsi" w:hAnsiTheme="minorHAnsi" w:cstheme="minorHAnsi"/>
          <w:sz w:val="22"/>
          <w:szCs w:val="22"/>
        </w:rPr>
        <w:t xml:space="preserve"> até o 15º dia útil do mês subsequente, contados do recebimento dos produtos; proporcional a cada solicitação, após apresentação da Nota Fiscal Eletrônica/Fatura; devidamente atestada pelo setor competente. Caso ocorra a qualquer tempo, a não aceitação do objeto e a não atestação de idoneidade da proponente, os pagamentos serão descontinuados e reiniciados após a correção necessária.</w:t>
      </w:r>
    </w:p>
    <w:p w:rsidR="004C7B88" w:rsidRPr="00D64320" w:rsidRDefault="004C7B88" w:rsidP="00D64320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Junto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D64320">
        <w:rPr>
          <w:rFonts w:asciiTheme="minorHAnsi" w:hAnsiTheme="minorHAnsi" w:cstheme="minorHAnsi"/>
          <w:b/>
          <w:sz w:val="22"/>
          <w:szCs w:val="22"/>
        </w:rPr>
        <w:t>CONTRATADA.</w:t>
      </w:r>
      <w:r w:rsidR="00D64320" w:rsidRPr="00D64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4320">
        <w:rPr>
          <w:rFonts w:asciiTheme="minorHAnsi" w:hAnsiTheme="minorHAnsi" w:cstheme="minorHAnsi"/>
          <w:sz w:val="22"/>
          <w:szCs w:val="22"/>
        </w:rPr>
        <w:t>As Notas Fiscais dos produtos do Departamento Rodoviário e Secretaria de Educação deverão ser emitidas em nome da PREFEITURA MUNICIPAL DE RIBEIRÃO DO PINHAL – CNPJ: 76.968.064/0001-42– RUA PARANÁ -983- CENTRO.</w:t>
      </w:r>
      <w:r w:rsidRPr="00D64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4320">
        <w:rPr>
          <w:rFonts w:asciiTheme="minorHAnsi" w:hAnsiTheme="minorHAnsi" w:cstheme="minorHAnsi"/>
          <w:sz w:val="22"/>
          <w:szCs w:val="22"/>
        </w:rPr>
        <w:t>Os da</w:t>
      </w:r>
      <w:r w:rsidRPr="00D64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4320">
        <w:rPr>
          <w:rFonts w:asciiTheme="minorHAnsi" w:hAnsiTheme="minorHAnsi" w:cstheme="minorHAnsi"/>
          <w:sz w:val="22"/>
          <w:szCs w:val="22"/>
        </w:rPr>
        <w:t>Secretaria de Saúde</w:t>
      </w:r>
      <w:r w:rsidRPr="00D64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4320">
        <w:rPr>
          <w:rFonts w:asciiTheme="minorHAnsi" w:hAnsiTheme="minorHAnsi" w:cstheme="minorHAnsi"/>
          <w:sz w:val="22"/>
          <w:szCs w:val="22"/>
        </w:rPr>
        <w:t>em nome do FUNDO MUNICIPAL DE SAÚDE DE RIBEIRÃO DO PINHAL – CNPJ: 09.654.201/0001-87-Rua Paraná 940 – Centro.</w:t>
      </w:r>
    </w:p>
    <w:p w:rsidR="004C7B88" w:rsidRPr="00D64320" w:rsidRDefault="004C7B88" w:rsidP="004C7B88">
      <w:pPr>
        <w:pStyle w:val="Normal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 – DA DOTAÇÃO ORÇAMENTÁRIA</w:t>
      </w:r>
      <w:r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:rsidR="00C67970" w:rsidRPr="00D64320" w:rsidRDefault="004C7B88" w:rsidP="00C6797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As despesas com a execução deste contrato correrão no orçamento da Dotação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Orçamentária:</w:t>
      </w:r>
      <w:proofErr w:type="gramEnd"/>
      <w:r w:rsidR="00C67970" w:rsidRPr="00D64320">
        <w:rPr>
          <w:rFonts w:asciiTheme="minorHAnsi" w:hAnsiTheme="minorHAnsi" w:cstheme="minorHAnsi"/>
          <w:sz w:val="22"/>
          <w:szCs w:val="22"/>
        </w:rPr>
        <w:t>700-000-3390300000; 720-000-3390300000; 800-000-3390300000; 880-103-3390300000; 890-1070-3390300000; 900-124-3390300000; 910-1013-3390300000; 1070-103-3390300000; 1080-104-3390300000; 1090-107-3390300000; 1200-103-3390300000; 1210-104-3390300000; 1220-107-3390300000; 1360-103-3390300000; 13700-104-3390300000; 1380-107-3390300000; 1490-495-</w:t>
      </w:r>
      <w:r w:rsidR="00C67970" w:rsidRPr="00D64320">
        <w:rPr>
          <w:rFonts w:asciiTheme="minorHAnsi" w:hAnsiTheme="minorHAnsi" w:cstheme="minorHAnsi"/>
          <w:sz w:val="22"/>
          <w:szCs w:val="22"/>
        </w:rPr>
        <w:lastRenderedPageBreak/>
        <w:t>3390300000; 1580-303-3390300000; 1840-933-3390300000; 1860-940-3390300000; 1910-934-3390300000; 1950-10934-3390300000; 1970-801-3390300000; 2010-718-3390300000; 2040-000-3390300000; 2100-000-3390300000; 2170-957-3390300000; 2</w:t>
      </w:r>
      <w:r w:rsidR="00677501" w:rsidRPr="00D64320">
        <w:rPr>
          <w:rFonts w:asciiTheme="minorHAnsi" w:hAnsiTheme="minorHAnsi" w:cstheme="minorHAnsi"/>
          <w:sz w:val="22"/>
          <w:szCs w:val="22"/>
        </w:rPr>
        <w:t>210</w:t>
      </w:r>
      <w:r w:rsidR="00C67970" w:rsidRPr="00D64320">
        <w:rPr>
          <w:rFonts w:asciiTheme="minorHAnsi" w:hAnsiTheme="minorHAnsi" w:cstheme="minorHAnsi"/>
          <w:sz w:val="22"/>
          <w:szCs w:val="22"/>
        </w:rPr>
        <w:t>-000-3390300000;</w:t>
      </w:r>
      <w:r w:rsidR="00677501" w:rsidRPr="00D64320">
        <w:rPr>
          <w:rFonts w:asciiTheme="minorHAnsi" w:hAnsiTheme="minorHAnsi" w:cstheme="minorHAnsi"/>
          <w:sz w:val="22"/>
          <w:szCs w:val="22"/>
        </w:rPr>
        <w:t xml:space="preserve"> 2260-941-3390300000; 2320-000-3390300000 e 2380-949-3390300000.</w:t>
      </w:r>
    </w:p>
    <w:p w:rsidR="004C7B88" w:rsidRPr="00D64320" w:rsidRDefault="00C67970" w:rsidP="00C67970">
      <w:pPr>
        <w:pStyle w:val="Normal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C7B88"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OITAVA – DAS OBRIGAÇÕES DO CONTRATANTE</w:t>
      </w:r>
      <w:r w:rsidR="004C7B88"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 CONTRATANTE obrigar-se-á: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a) Proporcionar à CONTRATADA todas as condições necessárias ao pleno cumprimento das obrigações decorrentes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da presente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licitação, consoante estabelece a Lei Federal nº 8.666/93; e demais normas 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editalícias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b) Fiscalizar e acompanhar o recebimento do objeto deste Pregão Presencial, através dos solicitantes Responsáveis pela Fiscalização e Recebimento;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c) Comunicar a CONTRATADA toda e qualquer ocorrência relacionada com a execução do Contrato nos termos da Ata de Registro de Preços, diligenciando nos casos que exigem providências corretivas;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d) Providenciar os pagamentos à CONTRATADA à vista das Notas Fiscais Eletrônicas/Faturas; devidamente atestadas nos prazos fixados;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e) Arcar com os encargos no caso do não pagamento nos prazos e condições previstas na Cláusula Sexta desta Ata de Registro de Preços. 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NONA – DAS OBRIGAÇÕES DA CONTRATADA</w:t>
      </w:r>
      <w:r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 CONTRATADA obrigar-se-á: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a) Executar o Objeto referente ao Edital do Pregão Presencial, de acordo estritamente com as especificações descritas no mesmo;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b) Entregar os produtos descritos nas Autorizações de Entrega, nos quantitativos; prazos e garantia previstos na proposta de preços conforme definidos neste Edital e em consonância com o objeto e descritivos dos mesmos;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c) Comunicar imediatamente eventuais atrasos na entrega do objeto, fundamentando justificadamente e documentalmente os seus motivos; para posterior análise da CONTRATANTE; ficando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a seu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exclusivo critério a aceitabilidade; independente de aplicação das penalidades prevista em lei;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d) Responsabilizar-se pelos danos causados diretamente à Administração ou a terceiros decorrentes de sua culpa ou dolo, quando do fornecimento e/ou execução do Objeto desta Licitação, não podendo ser arguido, para efeito de exclusão de sua responsabilidade, o fato de a Administração proceder à fiscalização ou acompanhamento do fornecimento do Objeto;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e) Assumir inteira responsabilidade com todas as despesas diretas e indiretas referentes ao fornecimento do objeto, inclusive da sua entrega até a sede da licitada ou local por ela indicada; bem como pela reposição dos produtos que venha a ser constatado não estar em conformidade com as referidas especificações, nos termos do Art. 69, da Lei Federal nº 8.666/93;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f) Reparar, corrigir, remover, substituir, às suas expensas no total ou em parte, o Objeto do Contrato em que se verificarem vícios, defeitos ou incorreções resultantes da execução;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g) Manter todas as condições de habilitação e qualificação exigidas na licitação, nos termos do art. 55, inciso XIII, da Lei Federal nº 8.666/93;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h) No ato do pagamento a CONTRATADA deverá apresentar a Certidão de Débitos Relativos a Créditos Tributários Federais e à Dívida Ativa da União; Certidão Negativa de Débitos Trabalhista </w:t>
      </w:r>
      <w:r w:rsidRPr="00D64320">
        <w:rPr>
          <w:rFonts w:asciiTheme="minorHAnsi" w:hAnsiTheme="minorHAnsi" w:cstheme="minorHAnsi"/>
          <w:sz w:val="22"/>
          <w:szCs w:val="22"/>
        </w:rPr>
        <w:lastRenderedPageBreak/>
        <w:t xml:space="preserve">(CNDT) e Certificado de Regularidade de Situação do FGTS, com prazo vigente, junto à Tesouraria deste Município, a fim de comprovar sua idoneidade fiscal;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i) No caso de empresas locais, deverá ainda ser apresentada a Certidão Negativa de Débitos Municipais;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j) Acatar todas as demais condições e assumir as obrigações contidas no Edital, seus anexos e nos Contratos oriundos desta Ata de Registro de Preços.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sz w:val="22"/>
          <w:szCs w:val="22"/>
          <w:u w:val="single"/>
        </w:rPr>
        <w:t>CLAUSULA DÉCIMA: Da Fiscalização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 fiscalização sobre a execução das contratações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da presente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licitação será exercida pelo </w:t>
      </w:r>
      <w:r w:rsidRPr="00D64320">
        <w:rPr>
          <w:rFonts w:asciiTheme="minorHAnsi" w:hAnsiTheme="minorHAnsi" w:cstheme="minorHAnsi"/>
          <w:b/>
          <w:sz w:val="22"/>
          <w:szCs w:val="22"/>
        </w:rPr>
        <w:t>senhor CARLOS ALBERTO PEROLI, Secretário de Transportes e Viação</w:t>
      </w:r>
      <w:r w:rsidRPr="00D64320">
        <w:rPr>
          <w:rFonts w:asciiTheme="minorHAnsi" w:hAnsiTheme="minorHAnsi" w:cstheme="minorHAnsi"/>
          <w:sz w:val="22"/>
          <w:szCs w:val="22"/>
        </w:rPr>
        <w:t>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 fiscalização terá poderes para: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a) Recusar produtos que não obedeçam às especificações, com o disposto no edital do Pregão Presencial;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b) Transmitir a CONTRATADA as determinações e instruções da Secretaria Solicitante;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c) Examinar os documentos referentes à regularidade da CONTRATADA para com a Previdência Social; FGTS; ISS, Justiça Trabalhista e outros decorrentes que se fizerem necessários; 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d) Praticar quaisquer atos, nos limites do contrato, que se destinem a preservar todo e qualquer direito do Município.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As determinações referentes às prioridades de entrega dos materiais produtos e/ou equipamentos; controle de qualidade; bem como a solução de casos concernentes a esses assuntos, ficarão a cargo da fiscalização.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A ação da fiscalização não diminui a completa responsabilidade da CONTRATADA pelo fornecimento dos bens, ora licitados.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DÉCIMA PRIMEIRA - </w:t>
      </w:r>
      <w:r w:rsidRPr="00D64320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4C7B88" w:rsidRPr="00D64320" w:rsidRDefault="004C7B88" w:rsidP="004C7B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b/>
          <w:sz w:val="22"/>
          <w:szCs w:val="22"/>
        </w:rPr>
        <w:t>01 -</w:t>
      </w:r>
      <w:r w:rsidRPr="00D64320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D64320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D64320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>;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D64320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D64320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4C7B88" w:rsidRPr="00D64320" w:rsidRDefault="004C7B88" w:rsidP="004C7B88">
      <w:pPr>
        <w:spacing w:after="0" w:line="285" w:lineRule="atLeast"/>
        <w:jc w:val="both"/>
        <w:rPr>
          <w:rFonts w:cstheme="minorHAnsi"/>
        </w:rPr>
      </w:pPr>
      <w:r w:rsidRPr="00D64320">
        <w:rPr>
          <w:rFonts w:cstheme="minorHAnsi"/>
        </w:rPr>
        <w:t xml:space="preserve">02 - Na hipótese de financiamento, parcial ou integral, por organismo financeiro multilateral, mediante adiantamento ou reembolso, este organismo imporá sanção sobre uma empresa ou pessoa </w:t>
      </w:r>
      <w:r w:rsidRPr="00D64320">
        <w:rPr>
          <w:rFonts w:cstheme="minorHAnsi"/>
        </w:rPr>
        <w:lastRenderedPageBreak/>
        <w:t xml:space="preserve">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D64320">
        <w:rPr>
          <w:rFonts w:cstheme="minorHAnsi"/>
        </w:rPr>
        <w:t>colusivas</w:t>
      </w:r>
      <w:proofErr w:type="spellEnd"/>
      <w:r w:rsidRPr="00D64320">
        <w:rPr>
          <w:rFonts w:cstheme="minorHAnsi"/>
        </w:rPr>
        <w:t>, coercitivas ou obstrutivas ao participar da licitação ou da execução um contrato financiado pelo organismo. </w:t>
      </w:r>
    </w:p>
    <w:p w:rsidR="004C7B88" w:rsidRPr="00D64320" w:rsidRDefault="004C7B88" w:rsidP="004C7B88">
      <w:pPr>
        <w:spacing w:after="0" w:line="285" w:lineRule="atLeast"/>
        <w:jc w:val="both"/>
        <w:rPr>
          <w:rFonts w:cstheme="minorHAnsi"/>
        </w:rPr>
      </w:pPr>
      <w:r w:rsidRPr="00D64320">
        <w:rPr>
          <w:rFonts w:cstheme="minorHAnsi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4C7B88" w:rsidRPr="00D64320" w:rsidRDefault="004C7B88" w:rsidP="004C7B88">
      <w:pPr>
        <w:spacing w:before="100" w:beforeAutospacing="1" w:after="100" w:afterAutospacing="1"/>
        <w:jc w:val="both"/>
        <w:rPr>
          <w:rFonts w:cstheme="minorHAnsi"/>
          <w:u w:val="single"/>
        </w:rPr>
      </w:pPr>
      <w:r w:rsidRPr="00D64320">
        <w:rPr>
          <w:rFonts w:cstheme="minorHAnsi"/>
          <w:b/>
          <w:bCs/>
          <w:u w:val="single"/>
        </w:rPr>
        <w:t>CLÁUSULA DÉCIMA SEGUNDA – DAS PENALIDADES</w:t>
      </w:r>
      <w:r w:rsidRPr="00D64320">
        <w:rPr>
          <w:rFonts w:cstheme="minorHAnsi"/>
          <w:u w:val="single"/>
        </w:rPr>
        <w:t> </w:t>
      </w:r>
    </w:p>
    <w:p w:rsidR="004C7B88" w:rsidRPr="00D64320" w:rsidRDefault="004C7B88" w:rsidP="004C7B8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 constitui-se em falta grave</w:t>
      </w:r>
      <w:r w:rsidRPr="00D64320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D64320">
        <w:rPr>
          <w:rFonts w:asciiTheme="minorHAnsi" w:hAnsiTheme="minorHAnsi" w:cstheme="minorHAnsi"/>
          <w:b/>
          <w:sz w:val="22"/>
          <w:szCs w:val="22"/>
        </w:rPr>
        <w:t>CONTRATADA,</w:t>
      </w:r>
      <w:r w:rsidRPr="00D64320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D6432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>) </w:t>
      </w:r>
      <w:r w:rsidRPr="00D64320">
        <w:rPr>
          <w:rFonts w:asciiTheme="minorHAnsi" w:hAnsiTheme="minorHAnsi" w:cstheme="minorHAnsi"/>
          <w:bCs/>
          <w:sz w:val="22"/>
          <w:szCs w:val="22"/>
        </w:rPr>
        <w:t xml:space="preserve">multa de 25 % sobre o valor total da ata </w:t>
      </w:r>
      <w:r w:rsidRPr="00D64320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D64320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</w:rPr>
        <w:t>CLÁUSULA DÉCIMA TERCEIRA – DA RENÚNCIA E DA RESCISÃO</w:t>
      </w:r>
      <w:r w:rsidRPr="00D64320">
        <w:rPr>
          <w:rFonts w:asciiTheme="minorHAnsi" w:hAnsiTheme="minorHAnsi" w:cstheme="minorHAnsi"/>
          <w:sz w:val="22"/>
          <w:szCs w:val="22"/>
        </w:rPr>
        <w:t> 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A presente Ata poderá ser renunciada, por acordo entre as partes, mediante notificação expressa, com antecedência mínima de 10 (dez) dias da data desejada para o encerramento, em conformidade com o art. 79, II da Lei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666/93.</w:t>
      </w:r>
      <w:r w:rsidR="00D64320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A presente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Ata também poderá ser rescindida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 – DA PUBLICAÇÃO</w:t>
      </w:r>
      <w:r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:rsidR="004C7B88" w:rsidRPr="00D64320" w:rsidRDefault="004C7B88" w:rsidP="004C7B8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D64320">
        <w:rPr>
          <w:rFonts w:asciiTheme="minorHAnsi" w:hAnsiTheme="minorHAnsi" w:cstheme="minorHAnsi"/>
          <w:b/>
          <w:sz w:val="22"/>
          <w:szCs w:val="22"/>
        </w:rPr>
        <w:t>CONTRATANTE</w:t>
      </w:r>
      <w:r w:rsidRPr="00D64320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QUINTA – DOS DOCUMENTOS INTEGRANTES </w:t>
      </w:r>
    </w:p>
    <w:p w:rsidR="004C7B88" w:rsidRPr="00D64320" w:rsidRDefault="004C7B88" w:rsidP="004C7B88">
      <w:pPr>
        <w:spacing w:before="100" w:beforeAutospacing="1" w:after="100" w:afterAutospacing="1"/>
        <w:jc w:val="both"/>
        <w:rPr>
          <w:rFonts w:cstheme="minorHAnsi"/>
        </w:rPr>
      </w:pPr>
      <w:r w:rsidRPr="00D64320">
        <w:rPr>
          <w:rFonts w:cstheme="minorHAnsi"/>
        </w:rPr>
        <w:t xml:space="preserve">Independentemente de transcrição, farão parte integrante deste instrumento de Ata Registro de Preços o Edital de Licitação - Modalidade Pregão Presencial nº 070/2019, e a proposta final e adjudicada da </w:t>
      </w:r>
      <w:r w:rsidRPr="00D64320">
        <w:rPr>
          <w:rFonts w:cstheme="minorHAnsi"/>
          <w:b/>
          <w:bCs/>
        </w:rPr>
        <w:t>CONTRATADA</w:t>
      </w:r>
      <w:r w:rsidRPr="00D64320">
        <w:rPr>
          <w:rFonts w:cstheme="minorHAnsi"/>
        </w:rPr>
        <w:t>.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SEXTA – DAS DISPOSIÇÕES FINAIS</w:t>
      </w:r>
    </w:p>
    <w:p w:rsidR="004C7B88" w:rsidRPr="00D64320" w:rsidRDefault="004C7B88" w:rsidP="004C7B8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Pr="00D64320">
        <w:rPr>
          <w:rFonts w:asciiTheme="minorHAnsi" w:hAnsiTheme="minorHAnsi" w:cstheme="minorHAnsi"/>
          <w:b/>
          <w:sz w:val="22"/>
          <w:szCs w:val="22"/>
        </w:rPr>
        <w:t>CONTRATADA</w:t>
      </w:r>
      <w:r w:rsidRPr="00D64320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4C7B88" w:rsidRPr="00D64320" w:rsidRDefault="004C7B88" w:rsidP="004C7B88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D64320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SÉTIMA – DO FORO</w:t>
      </w:r>
      <w:r w:rsidRPr="00D64320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:rsidR="00D64320" w:rsidRDefault="004C7B88" w:rsidP="00D6432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</w:t>
      </w:r>
      <w:r w:rsidR="00D643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</w:p>
    <w:p w:rsidR="004C7B88" w:rsidRDefault="004C7B88" w:rsidP="00D6432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E por estarem de acordo, as partes firmam </w:t>
      </w:r>
      <w:proofErr w:type="gramStart"/>
      <w:r w:rsidRPr="00D64320">
        <w:rPr>
          <w:rFonts w:asciiTheme="minorHAnsi" w:hAnsiTheme="minorHAnsi" w:cstheme="minorHAnsi"/>
          <w:sz w:val="22"/>
          <w:szCs w:val="22"/>
        </w:rPr>
        <w:t>a presente</w:t>
      </w:r>
      <w:proofErr w:type="gramEnd"/>
      <w:r w:rsidRPr="00D64320">
        <w:rPr>
          <w:rFonts w:asciiTheme="minorHAnsi" w:hAnsiTheme="minorHAnsi" w:cstheme="minorHAnsi"/>
          <w:sz w:val="22"/>
          <w:szCs w:val="22"/>
        </w:rPr>
        <w:t xml:space="preserve"> Ata Registro de Preços em 02 (duas) vias de igual teor e forma para um só efeito legal, ficando pelo menos uma via arquivada na sede da </w:t>
      </w:r>
      <w:r w:rsidRPr="00D64320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64320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D64320" w:rsidRPr="00D64320" w:rsidRDefault="00D64320" w:rsidP="00D64320">
      <w:pPr>
        <w:pStyle w:val="NormalWeb"/>
        <w:jc w:val="both"/>
        <w:rPr>
          <w:rFonts w:asciiTheme="minorHAnsi" w:hAnsiTheme="minorHAnsi" w:cstheme="minorHAnsi"/>
          <w:i/>
        </w:rPr>
      </w:pPr>
    </w:p>
    <w:p w:rsidR="004C7B88" w:rsidRPr="00D64320" w:rsidRDefault="004C7B88" w:rsidP="004C7B88">
      <w:pPr>
        <w:ind w:left="-187"/>
        <w:jc w:val="right"/>
        <w:rPr>
          <w:rFonts w:cstheme="minorHAnsi"/>
        </w:rPr>
      </w:pPr>
      <w:r w:rsidRPr="00D64320">
        <w:rPr>
          <w:rFonts w:cstheme="minorHAnsi"/>
        </w:rPr>
        <w:t>Edifício da Prefeitura Municipal de Ribeirão do Pinhal, 22 de janeiro de 2020.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="00C67970" w:rsidRPr="00D64320">
        <w:rPr>
          <w:rFonts w:asciiTheme="minorHAnsi" w:hAnsiTheme="minorHAnsi" w:cstheme="minorHAnsi"/>
          <w:sz w:val="22"/>
          <w:szCs w:val="22"/>
        </w:rPr>
        <w:t>FERNANDO FABIANO FAVERO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PREFEITO MUNICIPAL</w:t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Pr="00D64320">
        <w:rPr>
          <w:rFonts w:asciiTheme="minorHAnsi" w:hAnsiTheme="minorHAnsi" w:cstheme="minorHAnsi"/>
          <w:sz w:val="22"/>
          <w:szCs w:val="22"/>
        </w:rPr>
        <w:tab/>
      </w:r>
      <w:r w:rsidRPr="00D64320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="00C67970" w:rsidRPr="00D64320">
        <w:rPr>
          <w:rFonts w:asciiTheme="minorHAnsi" w:hAnsiTheme="minorHAnsi" w:cstheme="minorHAnsi"/>
          <w:sz w:val="22"/>
          <w:szCs w:val="22"/>
        </w:rPr>
        <w:t>008.172.319-94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TESTEMUNHAS: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7B88" w:rsidRPr="00D64320" w:rsidTr="004C7B88">
        <w:tc>
          <w:tcPr>
            <w:tcW w:w="4606" w:type="dxa"/>
          </w:tcPr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20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20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20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20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4C7B88" w:rsidRPr="00D64320" w:rsidTr="004C7B88">
        <w:tc>
          <w:tcPr>
            <w:tcW w:w="4606" w:type="dxa"/>
          </w:tcPr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C7B88" w:rsidRPr="00D64320" w:rsidRDefault="004C7B88" w:rsidP="004C7B8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BRUNA LEMES FOGAÇA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ASSESSORA JURÍDICA</w:t>
      </w:r>
    </w:p>
    <w:p w:rsidR="004C7B88" w:rsidRPr="00D64320" w:rsidRDefault="004C7B88" w:rsidP="004C7B8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eastAsiaTheme="minorEastAsia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eastAsiaTheme="minorEastAsia" w:hAnsiTheme="minorHAnsi" w:cstheme="minorHAnsi"/>
          <w:sz w:val="22"/>
          <w:szCs w:val="22"/>
        </w:rPr>
      </w:pP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CARLOS ALBERTO PEROLI</w:t>
      </w:r>
    </w:p>
    <w:p w:rsidR="004C7B88" w:rsidRPr="00D64320" w:rsidRDefault="004C7B88" w:rsidP="004C7B8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4320">
        <w:rPr>
          <w:rFonts w:asciiTheme="minorHAnsi" w:hAnsiTheme="minorHAnsi" w:cstheme="minorHAnsi"/>
          <w:sz w:val="22"/>
          <w:szCs w:val="22"/>
        </w:rPr>
        <w:t>CPF: 717.017.969-53</w:t>
      </w:r>
    </w:p>
    <w:p w:rsidR="004C7B88" w:rsidRPr="00D64320" w:rsidRDefault="004C7B88" w:rsidP="004C7B88">
      <w:pPr>
        <w:rPr>
          <w:rFonts w:cstheme="minorHAnsi"/>
        </w:rPr>
      </w:pPr>
      <w:r w:rsidRPr="00D64320">
        <w:rPr>
          <w:rFonts w:cstheme="minorHAnsi"/>
        </w:rPr>
        <w:t>FISCAL CONTRATO</w:t>
      </w:r>
      <w:bookmarkStart w:id="0" w:name="_GoBack"/>
      <w:bookmarkEnd w:id="0"/>
    </w:p>
    <w:p w:rsidR="004C7B88" w:rsidRPr="00D64320" w:rsidRDefault="004C7B88" w:rsidP="004C7B88">
      <w:pPr>
        <w:rPr>
          <w:rFonts w:cstheme="minorHAnsi"/>
        </w:rPr>
      </w:pPr>
    </w:p>
    <w:p w:rsidR="00976B38" w:rsidRPr="00D64320" w:rsidRDefault="00976B38">
      <w:pPr>
        <w:rPr>
          <w:rFonts w:cstheme="minorHAnsi"/>
        </w:rPr>
      </w:pPr>
    </w:p>
    <w:sectPr w:rsidR="00976B38" w:rsidRPr="00D64320" w:rsidSect="004C7B88">
      <w:headerReference w:type="default" r:id="rId10"/>
      <w:footerReference w:type="default" r:id="rId11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20" w:rsidRDefault="00D64320">
      <w:pPr>
        <w:spacing w:after="0" w:line="240" w:lineRule="auto"/>
      </w:pPr>
      <w:r>
        <w:separator/>
      </w:r>
    </w:p>
  </w:endnote>
  <w:endnote w:type="continuationSeparator" w:id="0">
    <w:p w:rsidR="00D64320" w:rsidRDefault="00D6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20" w:rsidRDefault="00D64320">
    <w:pPr>
      <w:pStyle w:val="Rodap"/>
      <w:pBdr>
        <w:bottom w:val="single" w:sz="12" w:space="1" w:color="auto"/>
      </w:pBdr>
      <w:jc w:val="center"/>
      <w:rPr>
        <w:sz w:val="20"/>
      </w:rPr>
    </w:pPr>
  </w:p>
  <w:p w:rsidR="00D64320" w:rsidRPr="008B5900" w:rsidRDefault="00D64320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D64320" w:rsidRPr="008B5900" w:rsidRDefault="00D64320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</w:rPr>
        <w:t>pmrpinhal@uol.com.br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20" w:rsidRDefault="00D64320">
      <w:pPr>
        <w:spacing w:after="0" w:line="240" w:lineRule="auto"/>
      </w:pPr>
      <w:r>
        <w:separator/>
      </w:r>
    </w:p>
  </w:footnote>
  <w:footnote w:type="continuationSeparator" w:id="0">
    <w:p w:rsidR="00D64320" w:rsidRDefault="00D6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20" w:rsidRDefault="00D6432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53FCB71" wp14:editId="2B6CB479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D64320" w:rsidRDefault="00D6432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D64320" w:rsidRDefault="00D64320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E5C00EC"/>
    <w:multiLevelType w:val="hybridMultilevel"/>
    <w:tmpl w:val="6F441764"/>
    <w:lvl w:ilvl="0" w:tplc="E4B21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213"/>
    <w:multiLevelType w:val="hybridMultilevel"/>
    <w:tmpl w:val="C6FADEF4"/>
    <w:lvl w:ilvl="0" w:tplc="5868FAB6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74DD3"/>
    <w:multiLevelType w:val="multilevel"/>
    <w:tmpl w:val="BB148C8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1A145CF"/>
    <w:multiLevelType w:val="hybridMultilevel"/>
    <w:tmpl w:val="A3A0D392"/>
    <w:lvl w:ilvl="0" w:tplc="2288128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22711055"/>
    <w:multiLevelType w:val="hybridMultilevel"/>
    <w:tmpl w:val="86587D4A"/>
    <w:lvl w:ilvl="0" w:tplc="ECFE6C3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26153681"/>
    <w:multiLevelType w:val="hybridMultilevel"/>
    <w:tmpl w:val="33C2F310"/>
    <w:lvl w:ilvl="0" w:tplc="E9E2040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27A51C43"/>
    <w:multiLevelType w:val="multilevel"/>
    <w:tmpl w:val="D682EF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Helvetica-Bold" w:hAnsi="Helvetica-Bold" w:cs="Helvetica-Bold"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11">
    <w:nsid w:val="2E024051"/>
    <w:multiLevelType w:val="hybridMultilevel"/>
    <w:tmpl w:val="4E50A644"/>
    <w:lvl w:ilvl="0" w:tplc="0AD84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E47D6"/>
    <w:multiLevelType w:val="multilevel"/>
    <w:tmpl w:val="2F8C711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07F16CC"/>
    <w:multiLevelType w:val="multilevel"/>
    <w:tmpl w:val="BF6E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0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A2B0E9E"/>
    <w:multiLevelType w:val="multilevel"/>
    <w:tmpl w:val="C9BCC802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9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96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404711"/>
    <w:multiLevelType w:val="hybridMultilevel"/>
    <w:tmpl w:val="3030FE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43D8"/>
    <w:multiLevelType w:val="hybridMultilevel"/>
    <w:tmpl w:val="2C226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3C63"/>
    <w:multiLevelType w:val="hybridMultilevel"/>
    <w:tmpl w:val="828A894A"/>
    <w:lvl w:ilvl="0" w:tplc="5868FAB6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0961B39"/>
    <w:multiLevelType w:val="hybridMultilevel"/>
    <w:tmpl w:val="FD566F98"/>
    <w:lvl w:ilvl="0" w:tplc="33DA8782">
      <w:start w:val="1"/>
      <w:numFmt w:val="decimalZero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27DB"/>
    <w:multiLevelType w:val="hybridMultilevel"/>
    <w:tmpl w:val="8AFA3DB2"/>
    <w:lvl w:ilvl="0" w:tplc="C246AD8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CD8679C"/>
    <w:multiLevelType w:val="hybridMultilevel"/>
    <w:tmpl w:val="493CD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6F227A"/>
    <w:multiLevelType w:val="hybridMultilevel"/>
    <w:tmpl w:val="8AFA3DB2"/>
    <w:lvl w:ilvl="0" w:tplc="C246AD8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D11A2"/>
    <w:multiLevelType w:val="hybridMultilevel"/>
    <w:tmpl w:val="49AA51C0"/>
    <w:lvl w:ilvl="0" w:tplc="281C27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  <w:num w:numId="15">
    <w:abstractNumId w:val="23"/>
  </w:num>
  <w:num w:numId="16">
    <w:abstractNumId w:val="26"/>
  </w:num>
  <w:num w:numId="17">
    <w:abstractNumId w:val="21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1"/>
  </w:num>
  <w:num w:numId="23">
    <w:abstractNumId w:val="1"/>
  </w:num>
  <w:num w:numId="24">
    <w:abstractNumId w:val="17"/>
  </w:num>
  <w:num w:numId="25">
    <w:abstractNumId w:val="24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28"/>
    <w:rsid w:val="004C7B88"/>
    <w:rsid w:val="00543328"/>
    <w:rsid w:val="00677501"/>
    <w:rsid w:val="00703EBD"/>
    <w:rsid w:val="008C3C59"/>
    <w:rsid w:val="00976B38"/>
    <w:rsid w:val="00C67970"/>
    <w:rsid w:val="00D64320"/>
    <w:rsid w:val="00DB0BFB"/>
    <w:rsid w:val="00E02CA4"/>
    <w:rsid w:val="00E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B88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4C7B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4C7B8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C7B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C7B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4C7B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7B88"/>
    <w:pPr>
      <w:keepNext/>
      <w:spacing w:after="0" w:line="240" w:lineRule="auto"/>
      <w:jc w:val="both"/>
      <w:outlineLvl w:val="6"/>
    </w:pPr>
    <w:rPr>
      <w:rFonts w:ascii="Times New Roman" w:eastAsia="MS Mincho" w:hAnsi="Times New Roman" w:cs="Times New Roman"/>
      <w:sz w:val="52"/>
      <w:szCs w:val="20"/>
    </w:rPr>
  </w:style>
  <w:style w:type="paragraph" w:styleId="Ttulo8">
    <w:name w:val="heading 8"/>
    <w:basedOn w:val="Normal"/>
    <w:next w:val="Normal"/>
    <w:link w:val="Ttulo8Char"/>
    <w:qFormat/>
    <w:rsid w:val="004C7B88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4C7B88"/>
    <w:pPr>
      <w:keepNext/>
      <w:spacing w:after="0" w:line="360" w:lineRule="auto"/>
      <w:jc w:val="center"/>
      <w:outlineLvl w:val="8"/>
    </w:pPr>
    <w:rPr>
      <w:rFonts w:ascii="Trebuchet MS" w:eastAsia="Times New Roman" w:hAnsi="Trebuchet MS" w:cs="Times New Roman"/>
      <w:b/>
      <w:bCs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7B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7B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C7B88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C7B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C7B8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C7B88"/>
    <w:rPr>
      <w:rFonts w:ascii="Times New Roman" w:eastAsia="MS Mincho" w:hAnsi="Times New Roman" w:cs="Times New Roman"/>
      <w:sz w:val="5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C7B8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C7B88"/>
    <w:rPr>
      <w:rFonts w:ascii="Trebuchet MS" w:eastAsia="Times New Roman" w:hAnsi="Trebuchet MS" w:cs="Times New Roman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C7B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C7B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C7B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C7B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C7B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C7B8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C7B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4C7B8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C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C7B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B88"/>
    <w:rPr>
      <w:b/>
      <w:bCs/>
    </w:rPr>
  </w:style>
  <w:style w:type="paragraph" w:styleId="NormalWeb">
    <w:name w:val="Normal (Web)"/>
    <w:basedOn w:val="Normal"/>
    <w:uiPriority w:val="99"/>
    <w:rsid w:val="004C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C7B88"/>
  </w:style>
  <w:style w:type="paragraph" w:styleId="Corpodetexto">
    <w:name w:val="Body Text"/>
    <w:basedOn w:val="Normal"/>
    <w:link w:val="CorpodetextoChar"/>
    <w:rsid w:val="004C7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C7B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4C7B8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C7B88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BodyTextChar">
    <w:name w:val="Body Text Char"/>
    <w:locked/>
    <w:rsid w:val="004C7B88"/>
    <w:rPr>
      <w:rFonts w:cs="Times New Roman"/>
      <w:sz w:val="28"/>
    </w:rPr>
  </w:style>
  <w:style w:type="paragraph" w:customStyle="1" w:styleId="Default">
    <w:name w:val="Default"/>
    <w:rsid w:val="004C7B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C7B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7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C7B88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pt-PT" w:eastAsia="pt-PT" w:bidi="pt-PT"/>
    </w:rPr>
  </w:style>
  <w:style w:type="paragraph" w:styleId="Textoembloco">
    <w:name w:val="Block Text"/>
    <w:basedOn w:val="Normal"/>
    <w:rsid w:val="004C7B88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4C7B8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C7B8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C7B88"/>
  </w:style>
  <w:style w:type="character" w:customStyle="1" w:styleId="st">
    <w:name w:val="st"/>
    <w:basedOn w:val="Fontepargpadro"/>
    <w:rsid w:val="004C7B88"/>
  </w:style>
  <w:style w:type="paragraph" w:customStyle="1" w:styleId="WW-Padro11">
    <w:name w:val="WW-Padrão11"/>
    <w:rsid w:val="004C7B8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4C7B88"/>
    <w:rPr>
      <w:i/>
      <w:iCs/>
      <w:color w:val="808080" w:themeColor="text1" w:themeTint="7F"/>
    </w:rPr>
  </w:style>
  <w:style w:type="character" w:customStyle="1" w:styleId="titulo">
    <w:name w:val="titulo"/>
    <w:basedOn w:val="Fontepargpadro"/>
    <w:rsid w:val="004C7B88"/>
  </w:style>
  <w:style w:type="character" w:styleId="nfase">
    <w:name w:val="Emphasis"/>
    <w:basedOn w:val="Fontepargpadro"/>
    <w:uiPriority w:val="20"/>
    <w:qFormat/>
    <w:rsid w:val="004C7B88"/>
    <w:rPr>
      <w:i/>
      <w:iCs/>
    </w:rPr>
  </w:style>
  <w:style w:type="character" w:customStyle="1" w:styleId="Corpodetexto2Char">
    <w:name w:val="Corpo de texto 2 Char"/>
    <w:basedOn w:val="Fontepargpadro"/>
    <w:link w:val="Corpodetexto2"/>
    <w:semiHidden/>
    <w:rsid w:val="004C7B88"/>
    <w:rPr>
      <w:rFonts w:eastAsia="MS Mincho"/>
      <w:sz w:val="52"/>
    </w:rPr>
  </w:style>
  <w:style w:type="paragraph" w:styleId="Corpodetexto2">
    <w:name w:val="Body Text 2"/>
    <w:basedOn w:val="Normal"/>
    <w:link w:val="Corpodetexto2Char"/>
    <w:semiHidden/>
    <w:unhideWhenUsed/>
    <w:rsid w:val="004C7B88"/>
    <w:pPr>
      <w:spacing w:after="0" w:line="240" w:lineRule="auto"/>
      <w:jc w:val="both"/>
    </w:pPr>
    <w:rPr>
      <w:rFonts w:eastAsia="MS Mincho"/>
      <w:sz w:val="52"/>
      <w:lang w:eastAsia="en-US"/>
    </w:rPr>
  </w:style>
  <w:style w:type="character" w:customStyle="1" w:styleId="Corpodetexto2Char1">
    <w:name w:val="Corpo de texto 2 Char1"/>
    <w:basedOn w:val="Fontepargpadro"/>
    <w:semiHidden/>
    <w:rsid w:val="004C7B88"/>
    <w:rPr>
      <w:rFonts w:eastAsiaTheme="minorEastAsia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C7B88"/>
    <w:rPr>
      <w:rFonts w:eastAsia="MS Mincho"/>
      <w:sz w:val="24"/>
    </w:rPr>
  </w:style>
  <w:style w:type="paragraph" w:styleId="Corpodetexto3">
    <w:name w:val="Body Text 3"/>
    <w:basedOn w:val="Normal"/>
    <w:link w:val="Corpodetexto3Char"/>
    <w:semiHidden/>
    <w:unhideWhenUsed/>
    <w:rsid w:val="004C7B88"/>
    <w:pPr>
      <w:spacing w:after="0" w:line="240" w:lineRule="auto"/>
      <w:jc w:val="both"/>
    </w:pPr>
    <w:rPr>
      <w:rFonts w:eastAsia="MS Mincho"/>
      <w:sz w:val="24"/>
      <w:lang w:eastAsia="en-US"/>
    </w:rPr>
  </w:style>
  <w:style w:type="character" w:customStyle="1" w:styleId="Corpodetexto3Char1">
    <w:name w:val="Corpo de texto 3 Char1"/>
    <w:basedOn w:val="Fontepargpadro"/>
    <w:semiHidden/>
    <w:rsid w:val="004C7B88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B88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4C7B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4C7B8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C7B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C7B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4C7B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7B88"/>
    <w:pPr>
      <w:keepNext/>
      <w:spacing w:after="0" w:line="240" w:lineRule="auto"/>
      <w:jc w:val="both"/>
      <w:outlineLvl w:val="6"/>
    </w:pPr>
    <w:rPr>
      <w:rFonts w:ascii="Times New Roman" w:eastAsia="MS Mincho" w:hAnsi="Times New Roman" w:cs="Times New Roman"/>
      <w:sz w:val="52"/>
      <w:szCs w:val="20"/>
    </w:rPr>
  </w:style>
  <w:style w:type="paragraph" w:styleId="Ttulo8">
    <w:name w:val="heading 8"/>
    <w:basedOn w:val="Normal"/>
    <w:next w:val="Normal"/>
    <w:link w:val="Ttulo8Char"/>
    <w:qFormat/>
    <w:rsid w:val="004C7B88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4C7B88"/>
    <w:pPr>
      <w:keepNext/>
      <w:spacing w:after="0" w:line="360" w:lineRule="auto"/>
      <w:jc w:val="center"/>
      <w:outlineLvl w:val="8"/>
    </w:pPr>
    <w:rPr>
      <w:rFonts w:ascii="Trebuchet MS" w:eastAsia="Times New Roman" w:hAnsi="Trebuchet MS" w:cs="Times New Roman"/>
      <w:b/>
      <w:bCs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7B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7B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C7B88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C7B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C7B8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C7B88"/>
    <w:rPr>
      <w:rFonts w:ascii="Times New Roman" w:eastAsia="MS Mincho" w:hAnsi="Times New Roman" w:cs="Times New Roman"/>
      <w:sz w:val="5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C7B8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C7B88"/>
    <w:rPr>
      <w:rFonts w:ascii="Trebuchet MS" w:eastAsia="Times New Roman" w:hAnsi="Trebuchet MS" w:cs="Times New Roman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C7B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C7B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C7B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C7B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C7B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C7B8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C7B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4C7B8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C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C7B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B88"/>
    <w:rPr>
      <w:b/>
      <w:bCs/>
    </w:rPr>
  </w:style>
  <w:style w:type="paragraph" w:styleId="NormalWeb">
    <w:name w:val="Normal (Web)"/>
    <w:basedOn w:val="Normal"/>
    <w:uiPriority w:val="99"/>
    <w:rsid w:val="004C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C7B88"/>
  </w:style>
  <w:style w:type="paragraph" w:styleId="Corpodetexto">
    <w:name w:val="Body Text"/>
    <w:basedOn w:val="Normal"/>
    <w:link w:val="CorpodetextoChar"/>
    <w:rsid w:val="004C7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C7B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4C7B8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C7B88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BodyTextChar">
    <w:name w:val="Body Text Char"/>
    <w:locked/>
    <w:rsid w:val="004C7B88"/>
    <w:rPr>
      <w:rFonts w:cs="Times New Roman"/>
      <w:sz w:val="28"/>
    </w:rPr>
  </w:style>
  <w:style w:type="paragraph" w:customStyle="1" w:styleId="Default">
    <w:name w:val="Default"/>
    <w:rsid w:val="004C7B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C7B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7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C7B88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pt-PT" w:eastAsia="pt-PT" w:bidi="pt-PT"/>
    </w:rPr>
  </w:style>
  <w:style w:type="paragraph" w:styleId="Textoembloco">
    <w:name w:val="Block Text"/>
    <w:basedOn w:val="Normal"/>
    <w:rsid w:val="004C7B88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4C7B8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C7B8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C7B88"/>
  </w:style>
  <w:style w:type="character" w:customStyle="1" w:styleId="st">
    <w:name w:val="st"/>
    <w:basedOn w:val="Fontepargpadro"/>
    <w:rsid w:val="004C7B88"/>
  </w:style>
  <w:style w:type="paragraph" w:customStyle="1" w:styleId="WW-Padro11">
    <w:name w:val="WW-Padrão11"/>
    <w:rsid w:val="004C7B8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4C7B88"/>
    <w:rPr>
      <w:i/>
      <w:iCs/>
      <w:color w:val="808080" w:themeColor="text1" w:themeTint="7F"/>
    </w:rPr>
  </w:style>
  <w:style w:type="character" w:customStyle="1" w:styleId="titulo">
    <w:name w:val="titulo"/>
    <w:basedOn w:val="Fontepargpadro"/>
    <w:rsid w:val="004C7B88"/>
  </w:style>
  <w:style w:type="character" w:styleId="nfase">
    <w:name w:val="Emphasis"/>
    <w:basedOn w:val="Fontepargpadro"/>
    <w:uiPriority w:val="20"/>
    <w:qFormat/>
    <w:rsid w:val="004C7B88"/>
    <w:rPr>
      <w:i/>
      <w:iCs/>
    </w:rPr>
  </w:style>
  <w:style w:type="character" w:customStyle="1" w:styleId="Corpodetexto2Char">
    <w:name w:val="Corpo de texto 2 Char"/>
    <w:basedOn w:val="Fontepargpadro"/>
    <w:link w:val="Corpodetexto2"/>
    <w:semiHidden/>
    <w:rsid w:val="004C7B88"/>
    <w:rPr>
      <w:rFonts w:eastAsia="MS Mincho"/>
      <w:sz w:val="52"/>
    </w:rPr>
  </w:style>
  <w:style w:type="paragraph" w:styleId="Corpodetexto2">
    <w:name w:val="Body Text 2"/>
    <w:basedOn w:val="Normal"/>
    <w:link w:val="Corpodetexto2Char"/>
    <w:semiHidden/>
    <w:unhideWhenUsed/>
    <w:rsid w:val="004C7B88"/>
    <w:pPr>
      <w:spacing w:after="0" w:line="240" w:lineRule="auto"/>
      <w:jc w:val="both"/>
    </w:pPr>
    <w:rPr>
      <w:rFonts w:eastAsia="MS Mincho"/>
      <w:sz w:val="52"/>
      <w:lang w:eastAsia="en-US"/>
    </w:rPr>
  </w:style>
  <w:style w:type="character" w:customStyle="1" w:styleId="Corpodetexto2Char1">
    <w:name w:val="Corpo de texto 2 Char1"/>
    <w:basedOn w:val="Fontepargpadro"/>
    <w:semiHidden/>
    <w:rsid w:val="004C7B88"/>
    <w:rPr>
      <w:rFonts w:eastAsiaTheme="minorEastAsia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C7B88"/>
    <w:rPr>
      <w:rFonts w:eastAsia="MS Mincho"/>
      <w:sz w:val="24"/>
    </w:rPr>
  </w:style>
  <w:style w:type="paragraph" w:styleId="Corpodetexto3">
    <w:name w:val="Body Text 3"/>
    <w:basedOn w:val="Normal"/>
    <w:link w:val="Corpodetexto3Char"/>
    <w:semiHidden/>
    <w:unhideWhenUsed/>
    <w:rsid w:val="004C7B88"/>
    <w:pPr>
      <w:spacing w:after="0" w:line="240" w:lineRule="auto"/>
      <w:jc w:val="both"/>
    </w:pPr>
    <w:rPr>
      <w:rFonts w:eastAsia="MS Mincho"/>
      <w:sz w:val="24"/>
      <w:lang w:eastAsia="en-US"/>
    </w:rPr>
  </w:style>
  <w:style w:type="character" w:customStyle="1" w:styleId="Corpodetexto3Char1">
    <w:name w:val="Corpo de texto 3 Char1"/>
    <w:basedOn w:val="Fontepargpadro"/>
    <w:semiHidden/>
    <w:rsid w:val="004C7B88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petroest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ao@petroeste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4324</Words>
  <Characters>23354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cp:lastPrinted>2020-01-28T11:05:00Z</cp:lastPrinted>
  <dcterms:created xsi:type="dcterms:W3CDTF">2020-01-23T13:11:00Z</dcterms:created>
  <dcterms:modified xsi:type="dcterms:W3CDTF">2020-01-28T11:14:00Z</dcterms:modified>
</cp:coreProperties>
</file>