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CD0438" w:rsidRPr="001A2990" w:rsidTr="007359AE">
        <w:trPr>
          <w:trHeight w:val="2843"/>
        </w:trPr>
        <w:tc>
          <w:tcPr>
            <w:tcW w:w="8188" w:type="dxa"/>
          </w:tcPr>
          <w:p w:rsidR="00CD0438" w:rsidRPr="00E476C4" w:rsidRDefault="00CD0438" w:rsidP="007359A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D0438" w:rsidRPr="00CD0438" w:rsidRDefault="00CD0438" w:rsidP="007359A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438">
              <w:rPr>
                <w:rFonts w:cstheme="minorHAnsi"/>
                <w:b/>
                <w:sz w:val="18"/>
                <w:szCs w:val="18"/>
              </w:rPr>
              <w:t>PRIMEIRO ADITIVO ATA REGISTRO DE PREÇOS 012/2022 - PROCESSO LICITATÓRIO PREGÃO ELETRÔNICO Nº003/2022.</w:t>
            </w:r>
          </w:p>
          <w:p w:rsidR="00CD0438" w:rsidRPr="00CD0438" w:rsidRDefault="00CD0438" w:rsidP="007359A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D0438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MR OLIVEIRA COMÉRCIO DE ALIMENTOS E MATERIAIS DE LIMPEZA LTDA, CNPJ nº. 37.516.954/0001-61. Objeto: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CD0438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CD0438">
              <w:rPr>
                <w:rFonts w:cstheme="minorHAnsi"/>
                <w:sz w:val="18"/>
                <w:szCs w:val="18"/>
              </w:rPr>
              <w:t>, conforme solicitação da Secretaria de Educação. Data de assinatura: 25/07/2022, MARCOS ROBERTO DE OLIVEIRA CPF: 017.504.309-40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81"/>
              <w:gridCol w:w="549"/>
              <w:gridCol w:w="4118"/>
              <w:gridCol w:w="695"/>
              <w:gridCol w:w="586"/>
              <w:gridCol w:w="838"/>
            </w:tblGrid>
            <w:tr w:rsidR="00CD0438" w:rsidRPr="007E739C" w:rsidTr="00CD043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CD0438" w:rsidRPr="006A159F" w:rsidRDefault="00CD0438" w:rsidP="007359AE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6A159F" w:rsidRDefault="00CD0438" w:rsidP="007359AE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Pr="006A159F" w:rsidRDefault="00CD0438" w:rsidP="007359AE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D0438" w:rsidRPr="006A159F" w:rsidRDefault="00CD0438" w:rsidP="007359AE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6A159F" w:rsidRDefault="00CD0438" w:rsidP="007359AE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6A159F" w:rsidRDefault="00CD0438" w:rsidP="007359AE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6A159F" w:rsidRDefault="00CD0438" w:rsidP="007359AE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CD0438" w:rsidRPr="007E739C" w:rsidTr="00CD043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Arial Unicode MS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Fardo 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CD0438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>ARROZ:</w:t>
                  </w:r>
                  <w:r w:rsidRPr="00CD0438">
                    <w:rPr>
                      <w:rFonts w:eastAsia="Calibr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Grãos comestíveis de arroz “in Natura”, provenientes da espécie </w:t>
                  </w:r>
                  <w:proofErr w:type="spellStart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>Oryza</w:t>
                  </w:r>
                  <w:proofErr w:type="spellEnd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sativa. </w:t>
                  </w:r>
                  <w:proofErr w:type="gramStart"/>
                  <w:r w:rsidRPr="00CD0438"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  <w:t>Classificação:</w:t>
                  </w:r>
                  <w:proofErr w:type="gramEnd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Beneficiado, polido, longo fino (agulhinha), tipo 1, medindo 6 mm. Procedência: deve ser de procedência Nacional. Safra: corrente. Teste de cocção: Deve obter os seguintes resultados: Cozimento em 15 minutos (Máximo); Positivo: 100% dos grãos cozidos. Volume: mínimo de 3,0 vezes. </w:t>
                  </w: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C/ 06 </w:t>
                  </w:r>
                  <w:proofErr w:type="spellStart"/>
                  <w:r w:rsidRPr="00CD0438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>de</w:t>
                  </w:r>
                  <w:proofErr w:type="gramEnd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05kg.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CD0438">
                    <w:rPr>
                      <w:rFonts w:cstheme="minorHAnsi"/>
                      <w:sz w:val="16"/>
                      <w:szCs w:val="16"/>
                    </w:rPr>
                    <w:t>Cotti</w:t>
                  </w:r>
                  <w:proofErr w:type="spellEnd"/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>132,00</w:t>
                  </w:r>
                </w:p>
                <w:p w:rsid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color w:val="000000"/>
                      <w:sz w:val="16"/>
                      <w:szCs w:val="16"/>
                    </w:rPr>
                    <w:t>11880,00</w:t>
                  </w:r>
                </w:p>
                <w:p w:rsid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0438" w:rsidRPr="007E739C" w:rsidTr="00CD043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Arial Unicode MS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</w:pPr>
                  <w:r w:rsidRPr="00CD0438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>FRANGO, (PEITO SEM OSSO):</w:t>
                  </w:r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Carne de frango tipo peito congelado sem tempero, com adição de água de no máximo de 6%. Aspecto próprio, não amolecido e nem pegajosa, cor própria sem manchas esverdeadas com cheiro e sabor característicos, com ausência de sujidades, parasitas e larvas, embalagem de 20 kg. Produto deve ser registrado no SIP ou no SIF. </w:t>
                  </w:r>
                  <w:r w:rsidRPr="00CD0438">
                    <w:rPr>
                      <w:rFonts w:eastAsia="Calibri" w:cstheme="minorHAnsi"/>
                      <w:b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Maringá 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>20,00</w:t>
                  </w: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color w:val="000000"/>
                      <w:sz w:val="16"/>
                      <w:szCs w:val="16"/>
                    </w:rPr>
                    <w:t>7000,00</w:t>
                  </w: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0438" w:rsidRPr="007E739C" w:rsidTr="00CD043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Arial Unicode MS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  <w:lang w:val="es-ES_tradnl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  <w:lang w:val="es-ES_tradnl"/>
                    </w:rPr>
                    <w:t>2000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  <w:lang w:val="es-ES_tradnl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  <w:lang w:val="es-ES_tradnl"/>
                    </w:rPr>
                    <w:t>Litro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>LEITE INTEGRAL</w:t>
                  </w:r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acondicionado na embalagem tetra </w:t>
                  </w:r>
                  <w:proofErr w:type="spellStart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>brick</w:t>
                  </w:r>
                  <w:proofErr w:type="spellEnd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de 01 litro, contendo externamente os dados de identificação, procedência, informação nutricional, número de lote, data de validade, quantidade de produto, numero de registro no Ministério da Agricultura e do Regulamento da inspeção industrial e sanitária de produtos de origem animal do Ministério da Agricultura, apresentar cor, sabor e odor próprio. Validade mínima de 90 dias</w:t>
                  </w:r>
                  <w:proofErr w:type="gramStart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>..</w:t>
                  </w:r>
                  <w:proofErr w:type="gramEnd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Líder 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>9,56</w:t>
                  </w: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color w:val="000000"/>
                      <w:sz w:val="16"/>
                      <w:szCs w:val="16"/>
                    </w:rPr>
                    <w:t>19120,00</w:t>
                  </w: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0438" w:rsidRPr="007E739C" w:rsidTr="00CD043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Arial Unicode MS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 xml:space="preserve">MACARRÃO (PADRE NOSSO) </w:t>
                  </w:r>
                  <w:r w:rsidRPr="00CD0438">
                    <w:rPr>
                      <w:rFonts w:eastAsia="Calibri" w:cstheme="minorHAnsi"/>
                      <w:sz w:val="16"/>
                      <w:szCs w:val="16"/>
                      <w:lang w:eastAsia="en-US"/>
                    </w:rPr>
      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      </w:r>
                  <w:proofErr w:type="gramStart"/>
                  <w:r w:rsidRPr="00CD0438">
                    <w:rPr>
                      <w:rFonts w:eastAsia="Calibri" w:cstheme="minorHAnsi"/>
                      <w:sz w:val="16"/>
                      <w:szCs w:val="16"/>
                      <w:lang w:eastAsia="en-US"/>
                    </w:rPr>
                    <w:t>fabricado a partir de matérias-primas sãs e limpas</w:t>
                  </w:r>
                  <w:proofErr w:type="gramEnd"/>
                  <w:r w:rsidRPr="00CD0438">
                    <w:rPr>
                      <w:rFonts w:eastAsia="Calibri" w:cstheme="minorHAnsi"/>
                      <w:sz w:val="16"/>
                      <w:szCs w:val="16"/>
                      <w:lang w:eastAsia="en-US"/>
                    </w:rPr>
                    <w:t xml:space="preserve">, isentas de matéria terrosa e de parasitos. Deverá ser fabricado com ovos, na proporção mínima de </w:t>
                  </w:r>
                  <w:proofErr w:type="gramStart"/>
                  <w:r w:rsidRPr="00CD0438">
                    <w:rPr>
                      <w:rFonts w:eastAsia="Calibri" w:cstheme="minorHAnsi"/>
                      <w:sz w:val="16"/>
                      <w:szCs w:val="16"/>
                      <w:lang w:eastAsia="en-US"/>
                    </w:rPr>
                    <w:t>3</w:t>
                  </w:r>
                  <w:proofErr w:type="gramEnd"/>
                  <w:r w:rsidRPr="00CD0438">
                    <w:rPr>
                      <w:rFonts w:eastAsia="Calibri" w:cstheme="minorHAnsi"/>
                      <w:sz w:val="16"/>
                      <w:szCs w:val="16"/>
                      <w:lang w:eastAsia="en-US"/>
                    </w:rPr>
                    <w:t xml:space="preserve"> ovos por quilo. Será permitido </w:t>
                  </w:r>
                  <w:proofErr w:type="gramStart"/>
                  <w:r w:rsidRPr="00CD0438">
                    <w:rPr>
                      <w:rFonts w:eastAsia="Calibri" w:cstheme="minorHAnsi"/>
                      <w:sz w:val="16"/>
                      <w:szCs w:val="16"/>
                      <w:lang w:eastAsia="en-US"/>
                    </w:rPr>
                    <w:t>o enriquecimento com vitaminas, minerais</w:t>
                  </w:r>
                  <w:proofErr w:type="gramEnd"/>
                  <w:r w:rsidRPr="00CD0438">
                    <w:rPr>
                      <w:rFonts w:eastAsia="Calibri" w:cstheme="minorHAnsi"/>
                      <w:sz w:val="16"/>
                      <w:szCs w:val="16"/>
                      <w:lang w:eastAsia="en-US"/>
                    </w:rPr>
                    <w:t xml:space="preserve">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Fardos com 20 pacotes de </w:t>
                  </w:r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1 </w:t>
                  </w:r>
                  <w:proofErr w:type="gramStart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>kg.</w:t>
                  </w:r>
                  <w:proofErr w:type="gramEnd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>Validade de 10 meses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Jóia 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>3,25</w:t>
                  </w:r>
                </w:p>
                <w:p w:rsid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color w:val="000000"/>
                      <w:sz w:val="16"/>
                      <w:szCs w:val="16"/>
                    </w:rPr>
                    <w:t>747,50</w:t>
                  </w: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D0438" w:rsidRPr="007E739C" w:rsidTr="00CD043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0438" w:rsidRPr="00CD0438" w:rsidRDefault="00CD0438" w:rsidP="007359AE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CD0438">
                    <w:rPr>
                      <w:rFonts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Pr="00CD0438" w:rsidRDefault="00CD0438" w:rsidP="007359A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438" w:rsidRPr="00CD0438" w:rsidRDefault="00CD0438" w:rsidP="007359AE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color w:val="000000"/>
                      <w:sz w:val="16"/>
                      <w:szCs w:val="16"/>
                    </w:rPr>
                    <w:t>38747,50</w:t>
                  </w:r>
                </w:p>
              </w:tc>
            </w:tr>
          </w:tbl>
          <w:p w:rsidR="00CD0438" w:rsidRPr="00D46645" w:rsidRDefault="00CD0438" w:rsidP="007359AE">
            <w:pPr>
              <w:pStyle w:val="SemEspaamento"/>
              <w:jc w:val="both"/>
            </w:pPr>
          </w:p>
        </w:tc>
      </w:tr>
    </w:tbl>
    <w:p w:rsidR="00CD0438" w:rsidRDefault="00CD0438" w:rsidP="00CD0438"/>
    <w:sectPr w:rsidR="00CD0438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D043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D043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D043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D04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CD04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D043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D0438"/>
    <w:rsid w:val="00CD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D043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D0438"/>
  </w:style>
  <w:style w:type="paragraph" w:styleId="Cabealho">
    <w:name w:val="header"/>
    <w:basedOn w:val="Normal"/>
    <w:link w:val="CabealhoChar"/>
    <w:rsid w:val="00CD04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043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D04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04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D0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2022-07-26T13:38:00Z</dcterms:created>
  <dcterms:modified xsi:type="dcterms:W3CDTF">2022-07-26T13:40:00Z</dcterms:modified>
</cp:coreProperties>
</file>